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 w:lineRule="atLeast"/>
        <w:ind w:left="426" w:right="-17"/>
        <w:jc w:val="center"/>
        <w:rPr>
          <w:rFonts w:ascii="Arial" w:hAnsi="Arial" w:cs="Arial"/>
          <w:b/>
        </w:rPr>
      </w:pPr>
      <w:bookmarkStart w:id="0" w:name="_Hlk142658039"/>
    </w:p>
    <w:p>
      <w:pPr>
        <w:spacing w:line="24" w:lineRule="atLeast"/>
        <w:ind w:left="426" w:right="-17"/>
        <w:jc w:val="center"/>
        <w:rPr>
          <w:rFonts w:ascii="Arial" w:hAnsi="Arial" w:cs="Arial"/>
          <w:b/>
        </w:rPr>
      </w:pPr>
      <w:r>
        <w:rPr>
          <w:rFonts w:ascii="Arial" w:hAnsi="Arial" w:cs="Arial"/>
          <w:b/>
        </w:rPr>
        <w:t>MINUTA DE TERMO DE CONTRATO</w:t>
      </w:r>
      <w:bookmarkEnd w:id="0"/>
    </w:p>
    <w:p>
      <w:pPr>
        <w:spacing w:line="24" w:lineRule="atLeast"/>
        <w:ind w:left="426" w:right="-17"/>
        <w:jc w:val="center"/>
        <w:rPr>
          <w:rFonts w:ascii="Arial" w:hAnsi="Arial" w:cs="Arial"/>
          <w:b/>
        </w:rPr>
      </w:pPr>
    </w:p>
    <w:p>
      <w:pPr>
        <w:spacing w:line="24" w:lineRule="atLeast"/>
        <w:ind w:left="4253" w:right="-17"/>
        <w:jc w:val="both"/>
        <w:rPr>
          <w:rFonts w:ascii="Arial" w:hAnsi="Arial" w:cs="Arial"/>
          <w:b/>
        </w:rPr>
      </w:pPr>
    </w:p>
    <w:p>
      <w:pPr>
        <w:spacing w:line="24" w:lineRule="atLeast"/>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w:t>
      </w:r>
      <w:bookmarkEnd w:id="2"/>
      <w:r>
        <w:rPr>
          <w:rFonts w:ascii="Arial" w:hAnsi="Arial" w:cs="Arial"/>
          <w:b/>
        </w:rPr>
        <w:t xml:space="preserve">............................................. </w:t>
      </w:r>
    </w:p>
    <w:p>
      <w:pPr>
        <w:spacing w:line="24" w:lineRule="atLeast"/>
        <w:ind w:left="5103" w:right="-17"/>
        <w:jc w:val="both"/>
        <w:rPr>
          <w:rFonts w:ascii="Arial" w:hAnsi="Arial" w:cs="Arial"/>
          <w:b/>
        </w:rPr>
      </w:pPr>
    </w:p>
    <w:bookmarkEnd w:id="1"/>
    <w:p>
      <w:pPr>
        <w:pStyle w:val="13"/>
        <w:spacing w:line="24" w:lineRule="atLeast"/>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Processo Administrativo nº </w:t>
      </w:r>
      <w:r>
        <w:rPr>
          <w:rFonts w:hint="default" w:ascii="Arial" w:hAnsi="Arial" w:cs="Arial"/>
          <w:sz w:val="22"/>
          <w:szCs w:val="22"/>
          <w:highlight w:val="none"/>
          <w:lang w:val="pt-BR"/>
        </w:rPr>
        <w:t>16.590/2026</w:t>
      </w:r>
      <w:r>
        <w:rPr>
          <w:rFonts w:ascii="Arial" w:hAnsi="Arial" w:cs="Arial"/>
          <w:b/>
          <w:bCs/>
          <w:color w:val="FF0000"/>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da Concorrência Eletrônica nº </w:t>
      </w:r>
      <w:r>
        <w:rPr>
          <w:rFonts w:hint="default" w:ascii="Arial" w:hAnsi="Arial" w:cs="Arial"/>
          <w:sz w:val="22"/>
          <w:szCs w:val="22"/>
          <w:highlight w:val="none"/>
          <w:lang w:val="pt-BR"/>
        </w:rPr>
        <w:t>61/2026</w:t>
      </w:r>
      <w:r>
        <w:rPr>
          <w:rFonts w:ascii="Arial" w:hAnsi="Arial" w:cs="Arial"/>
          <w:sz w:val="22"/>
          <w:szCs w:val="22"/>
        </w:rPr>
        <w:t>, mediante as cláusulas e condições a seguir enunciadas.</w:t>
      </w:r>
    </w:p>
    <w:p>
      <w:pPr>
        <w:pStyle w:val="19"/>
        <w:numPr>
          <w:ilvl w:val="0"/>
          <w:numId w:val="3"/>
        </w:numPr>
        <w:tabs>
          <w:tab w:val="left" w:pos="284"/>
        </w:tabs>
        <w:spacing w:line="24" w:lineRule="atLeast"/>
        <w:ind w:hanging="502"/>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spacing w:line="24" w:lineRule="atLeast"/>
        <w:jc w:val="both"/>
        <w:rPr>
          <w:rFonts w:ascii="Arial" w:hAnsi="Arial" w:eastAsia="Arial" w:cs="Arial"/>
          <w:b/>
        </w:rPr>
      </w:pPr>
      <w:r>
        <w:rPr>
          <w:rFonts w:ascii="Arial" w:hAnsi="Arial" w:cs="Arial"/>
          <w:bCs/>
          <w:iCs/>
        </w:rPr>
        <w:t xml:space="preserve"> O objeto do presente instrumento é</w:t>
      </w:r>
      <w:r>
        <w:rPr>
          <w:rFonts w:ascii="Arial" w:hAnsi="Arial" w:eastAsia="Arial" w:cs="Arial"/>
          <w:b/>
        </w:rPr>
        <w:t xml:space="preserve"> </w:t>
      </w:r>
      <w:r>
        <w:rPr>
          <w:rFonts w:hint="default" w:ascii="Arial" w:hAnsi="Arial" w:eastAsia="Arial" w:cs="Arial"/>
          <w:b/>
          <w:lang w:val="pt-BR"/>
        </w:rPr>
        <w:t>Contratação de empresa especializada para reforma e recuperação estrutural da Escola Municipal Messias de Moraes Teixeira.</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bCs/>
          <w:iCs/>
        </w:rPr>
        <w:t xml:space="preserve">  nas condições estabelecidas no Termo de Referência</w:t>
      </w:r>
      <w:r>
        <w:rPr>
          <w:rFonts w:ascii="Arial" w:hAnsi="Arial" w:cs="Arial"/>
          <w:bCs/>
          <w:iCs/>
          <w:lang w:val="pt-BR"/>
        </w:rPr>
        <w:t>, anexo do Edital</w:t>
      </w:r>
      <w:r>
        <w:rPr>
          <w:rFonts w:ascii="Arial" w:hAnsi="Arial" w:cs="Arial"/>
          <w:bCs/>
          <w:iCs/>
        </w:rPr>
        <w:t>.</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Edital da Licitação</w:t>
      </w:r>
      <w:r>
        <w:rPr>
          <w:rFonts w:ascii="Arial" w:hAnsi="Arial" w:cs="Arial"/>
          <w:bCs/>
          <w:lang w:val="pt-BR"/>
        </w:rPr>
        <w:t xml:space="preserve"> e todos os seus anexos</w:t>
      </w:r>
      <w:r>
        <w:rPr>
          <w:rFonts w:ascii="Arial" w:hAnsi="Arial" w:cs="Arial"/>
          <w:bCs/>
        </w:rPr>
        <w:t>;</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4" w:lineRule="atLeast"/>
        <w:ind w:left="862"/>
        <w:jc w:val="both"/>
        <w:rPr>
          <w:rFonts w:ascii="Arial" w:hAnsi="Arial" w:cs="Arial"/>
          <w:bCs/>
        </w:rPr>
      </w:pPr>
    </w:p>
    <w:p>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cs="Arial"/>
          <w:bCs/>
          <w:iCs/>
        </w:rPr>
        <w:t xml:space="preserve"> </w:t>
      </w:r>
      <w:r>
        <w:rPr>
          <w:rFonts w:ascii="Arial" w:hAnsi="Arial" w:eastAsia="Arial" w:cs="Arial"/>
          <w:color w:val="000000"/>
        </w:rPr>
        <w:t xml:space="preserve">O prazo de execução é de </w:t>
      </w:r>
      <w:r>
        <w:rPr>
          <w:rFonts w:hint="default" w:ascii="Arial" w:hAnsi="Arial" w:eastAsia="Arial" w:cs="Arial"/>
          <w:color w:val="000000"/>
          <w:highlight w:val="none"/>
          <w:lang w:val="pt-BR"/>
        </w:rPr>
        <w:t>300</w:t>
      </w:r>
      <w:r>
        <w:rPr>
          <w:rFonts w:ascii="Arial" w:hAnsi="Arial" w:eastAsia="Arial" w:cs="Arial"/>
          <w:color w:val="000000"/>
          <w:highlight w:val="none"/>
        </w:rPr>
        <w:t xml:space="preserve"> (</w:t>
      </w:r>
      <w:r>
        <w:rPr>
          <w:rFonts w:hint="default" w:ascii="Arial" w:hAnsi="Arial" w:eastAsia="Arial"/>
          <w:color w:val="000000"/>
          <w:highlight w:val="none"/>
        </w:rPr>
        <w:t>trezentos</w:t>
      </w:r>
      <w:r>
        <w:rPr>
          <w:rFonts w:ascii="Arial" w:hAnsi="Arial" w:eastAsia="Arial" w:cs="Arial"/>
          <w:color w:val="000000"/>
          <w:highlight w:val="none"/>
        </w:rPr>
        <w:t xml:space="preserve">) </w:t>
      </w:r>
      <w:r>
        <w:rPr>
          <w:rFonts w:ascii="Arial" w:hAnsi="Arial" w:eastAsia="Arial" w:cs="Arial"/>
          <w:color w:val="000000"/>
        </w:rPr>
        <w:t>dias, conforme cronograma físico-financeiro.</w:t>
      </w:r>
    </w:p>
    <w:p>
      <w:pPr>
        <w:widowControl/>
        <w:numPr>
          <w:ilvl w:val="1"/>
          <w:numId w:val="3"/>
        </w:numPr>
        <w:tabs>
          <w:tab w:val="left" w:pos="426"/>
        </w:tabs>
        <w:spacing w:before="120" w:after="120" w:line="24" w:lineRule="atLeast"/>
        <w:jc w:val="both"/>
        <w:rPr>
          <w:rFonts w:ascii="Arial" w:hAnsi="Arial" w:eastAsia="Arial" w:cs="Arial"/>
          <w:color w:val="000000"/>
        </w:rPr>
      </w:pPr>
      <w:r>
        <w:rPr>
          <w:rFonts w:ascii="Arial" w:hAnsi="Arial" w:eastAsia="Arial" w:cs="Arial"/>
          <w:color w:val="000000"/>
        </w:rPr>
        <w:t xml:space="preserve">O prazo de vigência da contratação é de </w:t>
      </w:r>
      <w:r>
        <w:rPr>
          <w:rFonts w:hint="default" w:ascii="Arial" w:hAnsi="Arial" w:eastAsia="Arial" w:cs="Arial"/>
          <w:color w:val="000000"/>
          <w:lang w:val="pt-BR"/>
        </w:rPr>
        <w:t>390</w:t>
      </w:r>
      <w:r>
        <w:rPr>
          <w:rFonts w:ascii="Arial" w:hAnsi="Arial" w:eastAsia="Arial" w:cs="Arial"/>
          <w:color w:val="000000"/>
          <w:highlight w:val="none"/>
        </w:rPr>
        <w:t xml:space="preserve"> (</w:t>
      </w:r>
      <w:r>
        <w:rPr>
          <w:rFonts w:hint="default" w:ascii="Arial" w:hAnsi="Arial" w:eastAsia="Arial"/>
          <w:color w:val="000000"/>
          <w:highlight w:val="none"/>
        </w:rPr>
        <w:t>trezentos e noventa</w:t>
      </w:r>
      <w:r>
        <w:rPr>
          <w:rFonts w:ascii="Arial" w:hAnsi="Arial" w:eastAsia="Arial" w:cs="Arial"/>
          <w:color w:val="000000"/>
          <w:highlight w:val="none"/>
        </w:rPr>
        <w:t xml:space="preserve">) </w:t>
      </w:r>
      <w:r>
        <w:rPr>
          <w:rFonts w:ascii="Arial" w:hAnsi="Arial" w:eastAsia="Arial" w:cs="Arial"/>
          <w:color w:val="000000"/>
        </w:rPr>
        <w:t xml:space="preserve">dias, contado da ordem de início dos serviços, na forma do </w:t>
      </w:r>
      <w:r>
        <w:fldChar w:fldCharType="begin"/>
      </w:r>
      <w:r>
        <w:instrText xml:space="preserve"> HYPERLINK "http://www.planalto.gov.br/ccivil_03/_ato2019-2022/2021/lei/L14133.htm" \l "art105" </w:instrText>
      </w:r>
      <w:r>
        <w:fldChar w:fldCharType="separate"/>
      </w:r>
      <w:r>
        <w:rPr>
          <w:rStyle w:val="9"/>
          <w:rFonts w:ascii="Arial" w:hAnsi="Arial" w:eastAsia="Arial" w:cs="Arial"/>
          <w:color w:val="000000"/>
        </w:rPr>
        <w:t>artigo 105 da Lei n° 14.133, de 2021</w:t>
      </w:r>
      <w:r>
        <w:rPr>
          <w:rStyle w:val="9"/>
          <w:rFonts w:ascii="Arial" w:hAnsi="Arial" w:eastAsia="Arial" w:cs="Arial"/>
          <w:color w:val="000000"/>
        </w:rPr>
        <w:fldChar w:fldCharType="end"/>
      </w:r>
      <w:r>
        <w:rPr>
          <w:rFonts w:ascii="Arial" w:hAnsi="Arial" w:eastAsia="Arial" w:cs="Arial"/>
          <w:color w:val="000000"/>
        </w:rPr>
        <w:t>.</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19"/>
        <w:widowControl/>
        <w:tabs>
          <w:tab w:val="left" w:pos="426"/>
        </w:tabs>
        <w:autoSpaceDE/>
        <w:autoSpaceDN/>
        <w:spacing w:before="120" w:after="120" w:line="24" w:lineRule="atLeast"/>
        <w:ind w:left="0"/>
        <w:jc w:val="both"/>
        <w:rPr>
          <w:rFonts w:ascii="Arial" w:hAnsi="Arial" w:cs="Arial"/>
          <w:bCs/>
          <w:iCs/>
        </w:rPr>
      </w:pPr>
    </w:p>
    <w:p>
      <w:pPr>
        <w:pStyle w:val="19"/>
        <w:widowControl/>
        <w:tabs>
          <w:tab w:val="left" w:pos="426"/>
        </w:tabs>
        <w:autoSpaceDE/>
        <w:autoSpaceDN/>
        <w:spacing w:before="120" w:after="120" w:line="24" w:lineRule="atLeast"/>
        <w:ind w:left="0"/>
        <w:jc w:val="both"/>
        <w:rPr>
          <w:rFonts w:ascii="Arial" w:hAnsi="Arial" w:cs="Arial"/>
          <w:bCs/>
          <w:iCs/>
        </w:rPr>
      </w:pPr>
    </w:p>
    <w:p>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DA FISCALIZAÇÃO DO CONTRATO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Contrato deverá ser executado fielmente pelas partes, de acordo com as cláusulas avençadas, as normas da Lei Nacional nº 14.133, de 2021 e a legislação residual incidente, e cada parte responderá pelas consequências de sua inexecução total ou parcial.</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de impedimento, ordem de paralisação ou suspensão do contrato, seu prazo de vigência será prorrogado automaticamente pelo tempo correspondente, assim como nas contratações que previrem a conclusão de escopo predefinido, cuja vigência será prorrogada automaticamente quando seu objeto não for concluído no período inicialmente firmado no contrato, obedecida à disciplina do art. 111 da Lei Federal nº. 14.133/2021.</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As comunicações entre o órgão ou entidade e a Contratada deverão ser realizadas por escrito, sempre que o ato exigir tal formalidade, admitindo-se o uso de mensagem eletrônica para esse fim.</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órgão ou entidade poderá convocar representante da empresa para adoção de providências que devam ser cumpridas de imediato.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Após a assinatura do Contrato ou instrumento equivalente, o órgão ou entidade poderá convocar o representante da Contratada para reunião inicial com vistas a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execução do Contrato deverá ser acompanhada e fiscalizada pelo (s) fiscal (is) do Contrato, ou pelos respectivos substitutos, a serem indicados através de Ordem de Serviço após a assinatura contratual, observado o art. 117 da Lei Nacional n.º 14.133/2021.</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acompanhará a sua execução, para que sejam cumpridas todas as condições nele estabelecidas, de modo a assegurar os melhores resultados para a Administração Pública.</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anotará no histórico de gerenciamento todas as ocorrências relacionadas à execução contratual, com a descrição do que for necessário para a regularização das faltas ou dos defeitos observados, observado o art. 117 da Lei Nacional n.º 14.133/2021.</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Identificada qualquer inexatidão ou irregularidade, o fiscal técnico do Contrato emitirá notificações para a correção da execução contratual, determinando prazo para a correção.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informará ao gestor, em tempo hábil, a situação que demandar decisão ou adoção de medidas que ultrapassem sua competência, para que adote as medidas necessárias e saneadoras, se for o caso.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caso de ocorrências que possam inviabilizar a execução contratual nas datas aprazadas, o fiscal técnico do Contrato comunicará o fato imediatamente ao gestor. </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técnico do Contrato comunicará ao gestor, em tempo hábil, o término do Contrato sob sua responsabilidade, com vistas à tempestiva renovação ou à prorrogação contratual.</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os registros realizados pelos fiscais, de todas as ocorrências relacionadas à execução contratual e as medidas adotadas, informando, se for o caso, à autoridade superior àquelas que ultrapassarem a sua competência.</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ocorra descumprimento das obrigações contratuais, o fiscal administrativo do Contrato atuará tempestivamente na solução do problema, reportando ao gestor, para que tome as providências cabíveis, quando ultrapassar a sua competência.</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w:t>
      </w:r>
      <w:r>
        <w:rPr>
          <w:rFonts w:ascii="Arial" w:hAnsi="Arial" w:cs="Arial" w:eastAsiaTheme="majorEastAsia"/>
          <w:lang w:val="en-US" w:eastAsia="pt-BR"/>
        </w:rPr>
        <w:t xml:space="preserve"> </w:t>
      </w:r>
      <w:r>
        <w:rPr>
          <w:rFonts w:ascii="Arial" w:hAnsi="Arial" w:cs="Arial" w:eastAsiaTheme="majorEastAsia"/>
          <w:lang w:val="pt-BR" w:eastAsia="pt-BR"/>
        </w:rPr>
        <w:t xml:space="preserve">relatório com vistas à verificação da necessidade de adequações do Contrato para fins de atendimento da finalidade da Administração. </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O gestor do Contrato tomará providências para a formalização de processo administrativo de responsabilização com vistas a aplicação de sanções, a ser conduzido pela comissão de que trata o </w:t>
      </w:r>
      <w:r>
        <w:fldChar w:fldCharType="begin"/>
      </w:r>
      <w:r>
        <w:instrText xml:space="preserve"> HYPERLINK "https://www.planalto.gov.br/ccivil_03/_ato2019-2022/2021/lei/l14133.htm" \l "art158" </w:instrText>
      </w:r>
      <w:r>
        <w:fldChar w:fldCharType="separate"/>
      </w:r>
      <w:r>
        <w:rPr>
          <w:rFonts w:ascii="Arial" w:hAnsi="Arial" w:cs="Arial" w:eastAsiaTheme="majorEastAsia"/>
          <w:lang w:val="pt-BR" w:eastAsia="pt-BR"/>
        </w:rPr>
        <w:t>art. 158 da Lei Nacional n.º 14.133, de 2021</w:t>
      </w:r>
      <w:r>
        <w:rPr>
          <w:rFonts w:ascii="Arial" w:hAnsi="Arial" w:cs="Arial" w:eastAsiaTheme="majorEastAsia"/>
          <w:lang w:val="pt-BR" w:eastAsia="pt-BR"/>
        </w:rPr>
        <w:fldChar w:fldCharType="end"/>
      </w:r>
      <w:r>
        <w:rPr>
          <w:rFonts w:ascii="Arial" w:hAnsi="Arial" w:cs="Arial" w:eastAsiaTheme="majorEastAsia"/>
          <w:lang w:val="pt-BR" w:eastAsia="pt-BR"/>
        </w:rPr>
        <w:t>, pelo agente ou pelo setor com competência para tal, conforme o caso.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elaborar relatório final com informações sobre a consecução dos objetivos que tenham justificado a contratação e eventuais condutas a serem adotadas para o aprimoramento das atividades da Administração.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O gestor do Contrato deverá enviar a documentação pertinente ao setor de Contratos para a formalização dos procedimentos de liquidação e pagamento, no valor dimensionado pela fiscalização e gestão nos termos do Contrato.</w:t>
      </w:r>
    </w:p>
    <w:p>
      <w:pPr>
        <w:pStyle w:val="19"/>
        <w:tabs>
          <w:tab w:val="left" w:pos="284"/>
        </w:tabs>
        <w:spacing w:line="24" w:lineRule="atLeast"/>
        <w:ind w:left="0"/>
        <w:jc w:val="both"/>
        <w:rPr>
          <w:rFonts w:ascii="Arial" w:hAnsi="Arial" w:cs="Arial" w:eastAsiaTheme="majorEastAsia"/>
          <w:lang w:val="pt-BR" w:eastAsia="pt-BR"/>
        </w:rPr>
      </w:pPr>
    </w:p>
    <w:p>
      <w:pPr>
        <w:pStyle w:val="19"/>
        <w:numPr>
          <w:ilvl w:val="0"/>
          <w:numId w:val="3"/>
        </w:numPr>
        <w:tabs>
          <w:tab w:val="left" w:pos="284"/>
        </w:tabs>
        <w:spacing w:line="24" w:lineRule="atLeast"/>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permitida a subcontratação parcial do objeto, desde que não estejam</w:t>
      </w:r>
      <w:r>
        <w:rPr>
          <w:rFonts w:ascii="Arial" w:hAnsi="Arial" w:cs="Arial"/>
          <w:bCs/>
          <w:lang w:val="pt-BR"/>
        </w:rPr>
        <w:t xml:space="preserve"> </w:t>
      </w:r>
      <w:r>
        <w:rPr>
          <w:rFonts w:ascii="Arial" w:hAnsi="Arial" w:cs="Arial"/>
          <w:bCs/>
        </w:rPr>
        <w:t>inseridas nos itens de maior relevância ou de valor significativo do objeto da licitação, assim consideradas as que tenham valor individual igual ou superior a 4% (quatro por cento) do valor total estimado da contratação, observada a norma dos arts. 67 e 122 da Lei nacional n.º 14133/2021.</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A subcontratação depende de autorização prévia do contratante, a quem incumbe avaliar se o subcontratado cumpre os requisitos de qualificação técnica necessários para a execução do objeto.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O contratado apresentará à Administração documentação que comprove a capacidade técnica do subcontratado, que será avaliada e juntada aos autos do processo correspondente.</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rPr>
      </w:pPr>
      <w:r>
        <w:rPr>
          <w:rFonts w:ascii="Arial" w:hAnsi="Arial" w:cs="Arial"/>
          <w:bCs/>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 CONTRATADO será responsável pela padronização, pela compatibilidade, pelo gerenciamento centralizado e pela qualidade da subcontratação.</w:t>
      </w:r>
    </w:p>
    <w:p>
      <w:pPr>
        <w:pStyle w:val="19"/>
        <w:widowControl/>
        <w:numPr>
          <w:ilvl w:val="2"/>
          <w:numId w:val="3"/>
        </w:numPr>
        <w:tabs>
          <w:tab w:val="left" w:pos="426"/>
        </w:tabs>
        <w:autoSpaceDE/>
        <w:autoSpaceDN/>
        <w:spacing w:before="120" w:after="120" w:line="24" w:lineRule="atLeast"/>
        <w:jc w:val="both"/>
        <w:rPr>
          <w:rFonts w:ascii="Arial" w:hAnsi="Arial" w:cs="Arial"/>
          <w:bCs/>
        </w:rPr>
      </w:pPr>
      <w:r>
        <w:rPr>
          <w:rFonts w:ascii="Arial" w:hAnsi="Arial" w:cs="Arial"/>
          <w:bCs/>
        </w:rPr>
        <w:t>Os empenhos e pagamentos referentes às parcelas subcontratadas serão destinados diretamente às microempresas e empresas de pequeno porte subcontratadas.</w:t>
      </w:r>
    </w:p>
    <w:p>
      <w:pPr>
        <w:pStyle w:val="19"/>
        <w:widowControl/>
        <w:tabs>
          <w:tab w:val="left" w:pos="426"/>
        </w:tabs>
        <w:autoSpaceDE/>
        <w:autoSpaceDN/>
        <w:spacing w:before="120" w:after="120" w:line="24" w:lineRule="atLeast"/>
        <w:ind w:left="862"/>
        <w:jc w:val="both"/>
        <w:rPr>
          <w:rFonts w:ascii="Arial" w:hAnsi="Arial" w:cs="Arial"/>
          <w:bCs/>
        </w:rPr>
      </w:pPr>
    </w:p>
    <w:p>
      <w:pPr>
        <w:pStyle w:val="19"/>
        <w:numPr>
          <w:ilvl w:val="0"/>
          <w:numId w:val="3"/>
        </w:numPr>
        <w:tabs>
          <w:tab w:val="left" w:pos="284"/>
        </w:tabs>
        <w:spacing w:line="24" w:lineRule="atLeast"/>
        <w:ind w:left="0" w:firstLine="0"/>
        <w:jc w:val="both"/>
        <w:rPr>
          <w:rFonts w:ascii="Arial" w:hAnsi="Arial" w:cs="Arial"/>
          <w:bCs/>
          <w:i/>
          <w:color w:val="FF0000"/>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rPr>
      </w:pPr>
      <w:r>
        <w:rPr>
          <w:rFonts w:ascii="Arial" w:hAnsi="Arial" w:cs="Arial"/>
          <w:bCs/>
          <w:iCs/>
        </w:rPr>
        <w:t xml:space="preserve">O valor total da contratação é de R$ </w:t>
      </w:r>
      <w:r>
        <w:rPr>
          <w:rFonts w:ascii="Arial" w:hAnsi="Arial" w:cs="Arial"/>
          <w:iCs/>
          <w:highlight w:val="none"/>
          <w:lang w:val="pt-BR"/>
        </w:rPr>
        <w:t>XXXXXXXX</w:t>
      </w:r>
      <w:r>
        <w:rPr>
          <w:rFonts w:ascii="Arial" w:hAnsi="Arial" w:cs="Arial"/>
          <w:bCs/>
          <w:iCs/>
          <w:highlight w:val="none"/>
        </w:rPr>
        <w:t xml:space="preserve"> (</w:t>
      </w:r>
      <w:r>
        <w:rPr>
          <w:rFonts w:ascii="Arial" w:hAnsi="Arial" w:cs="Arial"/>
          <w:bCs/>
          <w:iCs/>
          <w:highlight w:val="none"/>
          <w:lang w:val="pt-BR"/>
        </w:rPr>
        <w:t>XXXXXXXXXXXXX</w:t>
      </w:r>
      <w:r>
        <w:rPr>
          <w:rFonts w:ascii="Arial" w:hAnsi="Arial" w:cs="Arial"/>
          <w:bCs/>
          <w:iCs/>
          <w:highlight w:val="none"/>
        </w:rPr>
        <w:t>).</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i/>
          <w:color w:val="FF0000"/>
        </w:rPr>
      </w:pPr>
      <w:r>
        <w:rPr>
          <w:rFonts w:ascii="Arial" w:hAnsi="Arial" w:cs="Arial"/>
          <w:bCs/>
          <w:iCs/>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tabs>
          <w:tab w:val="left" w:pos="426"/>
        </w:tabs>
        <w:autoSpaceDE/>
        <w:autoSpaceDN/>
        <w:spacing w:before="120" w:after="120" w:line="24" w:lineRule="atLeast"/>
        <w:ind w:left="0"/>
        <w:jc w:val="both"/>
        <w:rPr>
          <w:rFonts w:ascii="Arial" w:hAnsi="Arial" w:cs="Arial"/>
          <w:bCs/>
          <w:i/>
          <w:color w:val="FF0000"/>
        </w:rPr>
      </w:pPr>
    </w:p>
    <w:p>
      <w:pPr>
        <w:pStyle w:val="19"/>
        <w:numPr>
          <w:ilvl w:val="0"/>
          <w:numId w:val="3"/>
        </w:numPr>
        <w:tabs>
          <w:tab w:val="left" w:pos="284"/>
        </w:tabs>
        <w:spacing w:line="24" w:lineRule="atLeast"/>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Nota Fiscal deverá ser emitida em nome de: </w:t>
      </w:r>
    </w:p>
    <w:p>
      <w:pPr>
        <w:tabs>
          <w:tab w:val="left" w:pos="851"/>
        </w:tabs>
        <w:spacing w:before="113" w:line="24" w:lineRule="atLeast"/>
        <w:ind w:left="284" w:right="301" w:rightChars="137"/>
        <w:jc w:val="both"/>
        <w:rPr>
          <w:rFonts w:ascii="Arial" w:hAnsi="Arial" w:cs="Arial"/>
        </w:rPr>
      </w:pPr>
      <w:r>
        <w:rPr>
          <w:rFonts w:ascii="Arial" w:hAnsi="Arial" w:cs="Arial"/>
          <w:lang w:val="pt-BR"/>
        </w:rPr>
        <w:t xml:space="preserve">- </w:t>
      </w:r>
      <w:r>
        <w:rPr>
          <w:rFonts w:ascii="Arial" w:hAnsi="Arial" w:cs="Arial"/>
        </w:rPr>
        <w:t>MUNICÍPIO DE NOVA FRIBURGO</w:t>
      </w:r>
      <w:r>
        <w:rPr>
          <w:rFonts w:ascii="Arial" w:hAnsi="Arial" w:cs="Arial"/>
          <w:lang w:val="pt-BR"/>
        </w:rPr>
        <w:t xml:space="preserve">, </w:t>
      </w:r>
      <w:r>
        <w:rPr>
          <w:rFonts w:ascii="Arial" w:hAnsi="Arial" w:cs="Arial"/>
        </w:rPr>
        <w:t>CNPJ: 28.606.630/0001-23</w:t>
      </w:r>
      <w:r>
        <w:rPr>
          <w:rFonts w:ascii="Arial" w:hAnsi="Arial" w:cs="Arial"/>
          <w:lang w:val="pt-BR"/>
        </w:rPr>
        <w:t xml:space="preserve">, </w:t>
      </w:r>
      <w:r>
        <w:rPr>
          <w:rFonts w:ascii="Arial" w:hAnsi="Arial" w:cs="Arial"/>
        </w:rPr>
        <w:t>ENDEREÇO: Avenida Alberto Braune, 225, Centro, Nova Friburgo.</w:t>
      </w:r>
    </w:p>
    <w:p>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6.2  </w:t>
      </w:r>
      <w:r>
        <w:rPr>
          <w:rFonts w:ascii="Arial" w:hAnsi="Arial" w:eastAsia="SimSun" w:cs="Arial"/>
          <w:color w:val="000000"/>
          <w:lang w:val="en-US" w:eastAsia="zh-CN" w:bidi="ar"/>
        </w:rPr>
        <w:t xml:space="preserve">Da liquidação da despesa: </w:t>
      </w:r>
    </w:p>
    <w:p>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6.1.2 </w:t>
      </w:r>
      <w:r>
        <w:rPr>
          <w:rFonts w:ascii="Arial" w:hAnsi="Arial" w:eastAsia="SimSun" w:cs="Arial"/>
          <w:color w:val="000000"/>
          <w:lang w:val="en-US" w:eastAsia="zh-CN" w:bidi="ar"/>
        </w:rPr>
        <w:t>A liquidação será realizada pela Secretaria Municipal de</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a partir do cumprimento das obrigações elencadas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neste Termo de Referência, em obediência ao Decreto nº 2493, de 07 de novembro de 2023 ou outro que vier a substituí-lo.</w:t>
      </w:r>
    </w:p>
    <w:p>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  </w:t>
      </w:r>
      <w:r>
        <w:rPr>
          <w:rFonts w:ascii="Arial" w:hAnsi="Arial" w:eastAsia="SimSun" w:cs="Arial"/>
          <w:color w:val="000000"/>
          <w:lang w:val="en-US" w:eastAsia="zh-CN" w:bidi="ar"/>
        </w:rPr>
        <w:t xml:space="preserve">Do pagamento da despesa: </w:t>
      </w:r>
    </w:p>
    <w:p>
      <w:pPr>
        <w:pStyle w:val="19"/>
        <w:spacing w:line="24" w:lineRule="atLeast"/>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6.3.1 </w:t>
      </w:r>
      <w:r>
        <w:rPr>
          <w:rFonts w:ascii="Arial" w:hAnsi="Arial" w:eastAsia="SimSun" w:cs="Arial"/>
          <w:color w:val="000000"/>
          <w:lang w:val="en-US" w:eastAsia="zh-CN" w:bidi="ar"/>
        </w:rPr>
        <w:t xml:space="preserve">O pagamento será efetuado conforme estabelecido no Decreto Municipal nº 2493, de 07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de novembro de 2023, desde que as certidões listadas abaixo estejam dentro da validade: </w:t>
      </w:r>
    </w:p>
    <w:p>
      <w:pPr>
        <w:pStyle w:val="2"/>
        <w:spacing w:line="24" w:lineRule="atLeast"/>
        <w:ind w:left="660" w:leftChars="300"/>
        <w:jc w:val="both"/>
        <w:rPr>
          <w:rFonts w:eastAsia="SimSun"/>
          <w:color w:val="000000"/>
          <w:sz w:val="22"/>
          <w:szCs w:val="22"/>
          <w:lang w:val="pt-BR" w:eastAsia="zh-CN" w:bidi="ar"/>
        </w:rPr>
      </w:pPr>
      <w:r>
        <w:rPr>
          <w:rFonts w:eastAsia="SimSun"/>
          <w:color w:val="000000"/>
          <w:sz w:val="22"/>
          <w:szCs w:val="22"/>
          <w:lang w:val="pt-BR" w:eastAsia="zh-CN" w:bidi="ar"/>
        </w:rPr>
        <w:t xml:space="preserve">- </w:t>
      </w:r>
      <w:r>
        <w:rPr>
          <w:rFonts w:eastAsia="SimSun"/>
          <w:color w:val="000000"/>
          <w:sz w:val="22"/>
          <w:szCs w:val="22"/>
          <w:lang w:val="en-US" w:eastAsia="zh-CN" w:bidi="ar"/>
        </w:rPr>
        <w:t xml:space="preserve">Negativa de Débitos Trabalhistas; </w:t>
      </w:r>
      <w:r>
        <w:rPr>
          <w:rFonts w:eastAsia="SimSun"/>
          <w:color w:val="000000"/>
          <w:sz w:val="22"/>
          <w:szCs w:val="22"/>
          <w:lang w:val="pt-BR" w:eastAsia="zh-CN" w:bidi="ar"/>
        </w:rPr>
        <w:t xml:space="preserve"> </w:t>
      </w:r>
    </w:p>
    <w:p>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Fazenda Federal – abrange as contribuições sociais; </w:t>
      </w:r>
    </w:p>
    <w:p>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FGTS; </w:t>
      </w:r>
    </w:p>
    <w:p>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PGE – referente à Dívida Ativa Estadual; </w:t>
      </w:r>
    </w:p>
    <w:p>
      <w:pPr>
        <w:widowControl/>
        <w:autoSpaceDE/>
        <w:autoSpaceDN/>
        <w:spacing w:line="24" w:lineRule="atLeast"/>
        <w:ind w:left="660" w:leftChars="300"/>
        <w:jc w:val="both"/>
        <w:rPr>
          <w:rFonts w:ascii="Arial" w:hAnsi="Arial" w:cs="Arial"/>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Municipal – referente ao ISS e Dívida Ativa; </w:t>
      </w:r>
    </w:p>
    <w:p>
      <w:pPr>
        <w:widowControl/>
        <w:autoSpaceDE/>
        <w:autoSpaceDN/>
        <w:spacing w:line="24" w:lineRule="atLeast"/>
        <w:ind w:left="660" w:leftChars="30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 xml:space="preserve">Estadual CND – referente ao ICMS. </w:t>
      </w:r>
    </w:p>
    <w:p>
      <w:pPr>
        <w:widowControl/>
        <w:spacing w:line="24" w:lineRule="atLeast"/>
        <w:ind w:left="720"/>
        <w:jc w:val="both"/>
        <w:rPr>
          <w:rFonts w:ascii="Arial" w:hAnsi="Arial" w:eastAsia="SimSun" w:cs="Arial"/>
          <w:color w:val="000000"/>
          <w:lang w:val="en-US" w:eastAsia="zh-CN" w:bidi="ar"/>
        </w:rPr>
      </w:pPr>
    </w:p>
    <w:p>
      <w:pPr>
        <w:pStyle w:val="19"/>
        <w:spacing w:line="24" w:lineRule="atLeast"/>
        <w:ind w:left="300"/>
        <w:jc w:val="both"/>
        <w:rPr>
          <w:rFonts w:ascii="Arial" w:hAnsi="Arial" w:cs="Arial"/>
          <w:lang w:val="en-US" w:eastAsia="zh-CN"/>
        </w:rPr>
      </w:pPr>
      <w:r>
        <w:rPr>
          <w:rFonts w:ascii="Arial" w:hAnsi="Arial" w:cs="Arial"/>
          <w:lang w:val="pt-BR" w:eastAsia="zh-CN"/>
        </w:rPr>
        <w:t xml:space="preserve">6.3.2  </w:t>
      </w:r>
      <w:r>
        <w:rPr>
          <w:rFonts w:ascii="Arial" w:hAnsi="Arial" w:cs="Arial"/>
          <w:lang w:val="en-US" w:eastAsia="zh-CN"/>
        </w:rPr>
        <w:t xml:space="preserve">A Nota Fiscal deverá conter a identificação do Banco, número da Agência e da Conta Corrente, para que possibilite o CONTRATANTE efetuar o pagamento do valor devido; </w:t>
      </w:r>
    </w:p>
    <w:p>
      <w:pPr>
        <w:pStyle w:val="19"/>
        <w:spacing w:line="24" w:lineRule="atLeast"/>
        <w:ind w:left="300"/>
        <w:jc w:val="both"/>
        <w:rPr>
          <w:rFonts w:ascii="Arial" w:hAnsi="Arial" w:cs="Arial"/>
          <w:lang w:val="en-US" w:eastAsia="zh-CN"/>
        </w:rPr>
      </w:pPr>
      <w:r>
        <w:rPr>
          <w:rFonts w:ascii="Arial" w:hAnsi="Arial" w:cs="Arial"/>
          <w:lang w:val="pt-BR" w:eastAsia="zh-CN"/>
        </w:rPr>
        <w:t xml:space="preserve">6.3.3 </w:t>
      </w:r>
      <w:r>
        <w:rPr>
          <w:rFonts w:ascii="Arial" w:hAnsi="Arial" w:cs="Arial"/>
          <w:lang w:val="en-US" w:eastAsia="zh-CN"/>
        </w:rPr>
        <w:t>Na ocorrência de rejeição da(s) Nota(s) Fiscal (s), motivada por erro ou incorreções, o prazo para pagamento estipulado acima passará a ser contado a partir da data de sua</w:t>
      </w:r>
      <w:r>
        <w:rPr>
          <w:rFonts w:ascii="Arial" w:hAnsi="Arial" w:cs="Arial"/>
          <w:lang w:val="pt-BR" w:eastAsia="zh-CN"/>
        </w:rPr>
        <w:t xml:space="preserve"> </w:t>
      </w:r>
      <w:r>
        <w:rPr>
          <w:rFonts w:ascii="Arial" w:hAnsi="Arial" w:cs="Arial"/>
          <w:lang w:val="en-US" w:eastAsia="zh-CN"/>
        </w:rPr>
        <w:t xml:space="preserve">reapresentação. </w:t>
      </w:r>
    </w:p>
    <w:p>
      <w:pPr>
        <w:pStyle w:val="19"/>
        <w:spacing w:line="24" w:lineRule="atLeast"/>
        <w:ind w:left="300"/>
        <w:jc w:val="both"/>
        <w:rPr>
          <w:rFonts w:ascii="Arial" w:hAnsi="Arial" w:eastAsia="SimSun" w:cs="Arial"/>
          <w:color w:val="000000"/>
          <w:lang w:val="en-US" w:eastAsia="zh-CN" w:bidi="ar"/>
        </w:rPr>
      </w:pPr>
      <w:r>
        <w:rPr>
          <w:rFonts w:ascii="Arial" w:hAnsi="Arial" w:cs="Arial"/>
          <w:lang w:val="pt-BR" w:eastAsia="zh-CN"/>
        </w:rPr>
        <w:t xml:space="preserve">6.3.4 </w:t>
      </w:r>
      <w:r>
        <w:rPr>
          <w:rFonts w:ascii="Arial" w:hAnsi="Arial" w:cs="Arial"/>
          <w:lang w:val="en-US" w:eastAsia="zh-CN"/>
        </w:rPr>
        <w:t xml:space="preserve">Consoante o artigo 45 da Lei nº 9.784, de 1999, a Administração Pública poderá, sem a </w:t>
      </w:r>
      <w:r>
        <w:rPr>
          <w:rFonts w:ascii="Arial" w:hAnsi="Arial" w:cs="Arial"/>
          <w:lang w:val="pt-BR" w:eastAsia="zh-CN"/>
        </w:rPr>
        <w:t xml:space="preserve"> </w:t>
      </w:r>
      <w:r>
        <w:rPr>
          <w:rFonts w:ascii="Arial" w:hAnsi="Arial" w:cs="Arial"/>
          <w:lang w:val="en-US" w:eastAsia="zh-CN"/>
        </w:rPr>
        <w:t>prévia manifestação do interessado, motivadamente, adotar providências acauteladoras</w:t>
      </w:r>
      <w:r>
        <w:rPr>
          <w:rFonts w:ascii="Arial" w:hAnsi="Arial" w:cs="Arial"/>
          <w:lang w:val="pt-BR" w:eastAsia="zh-CN"/>
        </w:rPr>
        <w:t xml:space="preserve">, </w:t>
      </w:r>
      <w:r>
        <w:rPr>
          <w:rFonts w:ascii="Arial" w:hAnsi="Arial" w:cs="Arial"/>
          <w:lang w:val="en-US" w:eastAsia="zh-CN"/>
        </w:rPr>
        <w:t xml:space="preserve">inclusive retendo o pagamento, em caso de risco iminente, como forma de prevenir a ocorrência de dano de difícil ou impossível reparação. </w:t>
      </w:r>
    </w:p>
    <w:p>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6.4  </w:t>
      </w:r>
      <w:r>
        <w:rPr>
          <w:rFonts w:ascii="Arial" w:hAnsi="Arial" w:eastAsia="SimSun" w:cs="Arial"/>
          <w:color w:val="000000"/>
          <w:lang w:val="en-US" w:eastAsia="zh-CN" w:bidi="ar"/>
        </w:rPr>
        <w:t xml:space="preserve">A Licitante deverá apresentar o cronograma físico-financeiro adequado a sua proposta e em </w:t>
      </w:r>
      <w:r>
        <w:rPr>
          <w:rFonts w:ascii="Arial" w:hAnsi="Arial" w:eastAsia="SimSun" w:cs="Arial"/>
          <w:color w:val="000000"/>
          <w:lang w:val="pt-BR" w:eastAsia="zh-CN" w:bidi="ar"/>
        </w:rPr>
        <w:t xml:space="preserve"> </w:t>
      </w:r>
      <w:r>
        <w:rPr>
          <w:rFonts w:ascii="Arial" w:hAnsi="Arial" w:eastAsia="SimSun" w:cs="Arial"/>
          <w:color w:val="000000"/>
          <w:lang w:val="en-US" w:eastAsia="zh-CN" w:bidi="ar"/>
        </w:rPr>
        <w:t>conformidade com o percentual previsto para desembolso elaborado pela Administração</w:t>
      </w:r>
    </w:p>
    <w:p>
      <w:pPr>
        <w:pStyle w:val="19"/>
        <w:spacing w:line="24" w:lineRule="atLeast"/>
        <w:ind w:left="0"/>
        <w:jc w:val="both"/>
        <w:rPr>
          <w:rFonts w:ascii="Arial" w:hAnsi="Arial" w:eastAsia="SimSun" w:cs="Arial"/>
          <w:color w:val="000000"/>
          <w:lang w:val="en-US" w:eastAsia="zh-CN" w:bidi="ar"/>
        </w:rPr>
      </w:pPr>
      <w:r>
        <w:rPr>
          <w:rFonts w:ascii="Arial" w:hAnsi="Arial" w:eastAsia="SimSun" w:cs="Arial"/>
          <w:color w:val="000000"/>
          <w:lang w:val="pt-BR" w:eastAsia="zh-CN" w:bidi="ar"/>
        </w:rPr>
        <w:t xml:space="preserve">6.5  </w:t>
      </w:r>
      <w:r>
        <w:rPr>
          <w:rFonts w:ascii="Arial" w:hAnsi="Arial" w:eastAsia="SimSun" w:cs="Arial"/>
          <w:color w:val="000000"/>
          <w:lang w:val="en-US" w:eastAsia="zh-CN" w:bidi="ar"/>
        </w:rPr>
        <w:t xml:space="preserve">Os pagamentos serão efetuados conforme a legislação de regência. </w:t>
      </w:r>
    </w:p>
    <w:p>
      <w:pPr>
        <w:pStyle w:val="19"/>
        <w:spacing w:line="24" w:lineRule="atLeast"/>
        <w:ind w:left="0"/>
        <w:jc w:val="both"/>
        <w:rPr>
          <w:rFonts w:ascii="Arial" w:hAnsi="Arial" w:cs="Arial"/>
          <w:lang w:val="en-US" w:eastAsia="zh-CN"/>
        </w:rPr>
      </w:pPr>
      <w:r>
        <w:rPr>
          <w:rFonts w:ascii="Arial" w:hAnsi="Arial" w:cs="Arial"/>
          <w:lang w:val="pt-BR" w:eastAsia="zh-CN"/>
        </w:rPr>
        <w:t xml:space="preserve">6.6  </w:t>
      </w:r>
      <w:r>
        <w:rPr>
          <w:rFonts w:ascii="Arial" w:hAnsi="Arial" w:cs="Arial"/>
          <w:lang w:val="en-US" w:eastAsia="zh-CN"/>
        </w:rPr>
        <w:t xml:space="preserve">Quando da apresentação das medições, deverá ser observada a normativa incidente, bem como a manutenção da regularidade fiscal ao longo do contrato. </w:t>
      </w:r>
    </w:p>
    <w:p>
      <w:pPr>
        <w:pStyle w:val="19"/>
        <w:spacing w:line="24" w:lineRule="atLeast"/>
        <w:ind w:left="0"/>
        <w:jc w:val="both"/>
        <w:rPr>
          <w:rFonts w:ascii="Arial" w:hAnsi="Arial" w:cs="Arial"/>
          <w:lang w:val="en-US" w:eastAsia="zh-CN"/>
        </w:rPr>
      </w:pPr>
      <w:r>
        <w:rPr>
          <w:rFonts w:ascii="Arial" w:hAnsi="Arial" w:cs="Arial"/>
          <w:lang w:val="pt-BR" w:eastAsia="zh-CN"/>
        </w:rPr>
        <w:t xml:space="preserve">6.7 </w:t>
      </w:r>
      <w:r>
        <w:rPr>
          <w:rFonts w:ascii="Arial" w:hAnsi="Arial" w:cs="Arial"/>
          <w:lang w:val="en-US" w:eastAsia="zh-CN"/>
        </w:rPr>
        <w:t>Não serão concedidos reajustes contratuais quando não houver o cumprimento do</w:t>
      </w:r>
      <w:r>
        <w:rPr>
          <w:rFonts w:ascii="Arial" w:hAnsi="Arial" w:cs="Arial"/>
          <w:lang w:val="pt-BR" w:eastAsia="zh-CN"/>
        </w:rPr>
        <w:t xml:space="preserve"> </w:t>
      </w:r>
      <w:r>
        <w:rPr>
          <w:rFonts w:ascii="Arial" w:hAnsi="Arial" w:cs="Arial"/>
          <w:lang w:val="en-US" w:eastAsia="zh-CN"/>
        </w:rPr>
        <w:t>cronograma proposto pela Contratada, não justificado pela fiscalização.</w:t>
      </w:r>
    </w:p>
    <w:p>
      <w:pPr>
        <w:pStyle w:val="19"/>
        <w:spacing w:line="24" w:lineRule="atLeast"/>
        <w:ind w:left="0"/>
        <w:jc w:val="both"/>
        <w:rPr>
          <w:rFonts w:ascii="Arial" w:hAnsi="Arial" w:cs="Arial"/>
          <w:lang w:val="en-US" w:eastAsia="zh-CN"/>
        </w:rPr>
      </w:pPr>
      <w:r>
        <w:rPr>
          <w:rFonts w:ascii="Arial" w:hAnsi="Arial" w:cs="Arial"/>
          <w:lang w:val="pt-BR" w:eastAsia="zh-CN"/>
        </w:rPr>
        <w:t xml:space="preserve">6.8  </w:t>
      </w:r>
      <w:r>
        <w:rPr>
          <w:rFonts w:ascii="Arial" w:hAnsi="Arial" w:cs="Arial"/>
          <w:lang w:val="en-US" w:eastAsia="zh-CN"/>
        </w:rPr>
        <w:t xml:space="preserve">Na hipótese de atraso no pagamento pela Administração, a aplicação de atualização do valor </w:t>
      </w:r>
      <w:r>
        <w:rPr>
          <w:rFonts w:ascii="Arial" w:hAnsi="Arial" w:cs="Arial"/>
          <w:lang w:val="pt-BR" w:eastAsia="zh-CN"/>
        </w:rPr>
        <w:t xml:space="preserve"> </w:t>
      </w:r>
      <w:r>
        <w:rPr>
          <w:rFonts w:ascii="Arial" w:hAnsi="Arial" w:cs="Arial"/>
          <w:lang w:val="en-US" w:eastAsia="zh-CN"/>
        </w:rPr>
        <w:t xml:space="preserve">deverá atender, inicialmente, a legislação que rege a matéria e o menor índice legal previsto. </w:t>
      </w:r>
    </w:p>
    <w:p>
      <w:pPr>
        <w:pStyle w:val="19"/>
        <w:spacing w:line="24" w:lineRule="atLeast"/>
        <w:ind w:left="0"/>
        <w:jc w:val="both"/>
        <w:rPr>
          <w:rFonts w:ascii="Arial" w:hAnsi="Arial" w:cs="Arial"/>
          <w:lang w:val="en-US" w:eastAsia="zh-CN"/>
        </w:rPr>
      </w:pPr>
      <w:r>
        <w:rPr>
          <w:rFonts w:ascii="Arial" w:hAnsi="Arial" w:cs="Arial"/>
          <w:lang w:val="pt-BR" w:eastAsia="zh-CN"/>
        </w:rPr>
        <w:t xml:space="preserve">6.9  </w:t>
      </w:r>
      <w:r>
        <w:rPr>
          <w:rFonts w:ascii="Arial" w:hAnsi="Arial" w:cs="Arial"/>
          <w:lang w:val="en-US" w:eastAsia="zh-CN"/>
        </w:rPr>
        <w:t>Não será admitida a cessão de crédito pela Contratada.</w:t>
      </w:r>
    </w:p>
    <w:p>
      <w:pPr>
        <w:pStyle w:val="19"/>
        <w:widowControl/>
        <w:tabs>
          <w:tab w:val="left" w:pos="426"/>
        </w:tabs>
        <w:autoSpaceDE/>
        <w:autoSpaceDN/>
        <w:spacing w:before="120" w:after="120" w:line="24" w:lineRule="atLeast"/>
        <w:ind w:left="0"/>
        <w:jc w:val="both"/>
        <w:rPr>
          <w:rFonts w:ascii="Arial" w:hAnsi="Arial" w:cs="Arial" w:eastAsiaTheme="majorEastAsia"/>
          <w:lang w:val="pt-BR" w:eastAsia="pt-BR"/>
        </w:rPr>
      </w:pPr>
    </w:p>
    <w:p>
      <w:pPr>
        <w:pStyle w:val="19"/>
        <w:numPr>
          <w:ilvl w:val="0"/>
          <w:numId w:val="3"/>
        </w:numPr>
        <w:tabs>
          <w:tab w:val="left" w:pos="284"/>
        </w:tabs>
        <w:spacing w:line="24" w:lineRule="atLeast"/>
        <w:ind w:left="284"/>
        <w:rPr>
          <w:rFonts w:ascii="Arial" w:hAnsi="Arial" w:cs="Arial" w:eastAsiaTheme="majorEastAsia"/>
          <w:lang w:val="pt-BR" w:eastAsia="pt-BR"/>
        </w:rPr>
      </w:pPr>
      <w:bookmarkStart w:id="3" w:name="_Toc26662"/>
      <w:bookmarkStart w:id="4" w:name="_Toc28979"/>
      <w:r>
        <w:rPr>
          <w:rFonts w:ascii="Arial" w:hAnsi="Arial" w:cs="Arial" w:eastAsiaTheme="majorEastAsia"/>
          <w:b/>
          <w:bCs/>
          <w:lang w:val="pt-BR" w:eastAsia="pt-BR"/>
        </w:rPr>
        <w:t>CLÁUSULA SÉTIMA - DAS CONDIÇÕES DE RECEBIMENTO DO OBJETO LICITADO</w:t>
      </w:r>
      <w:bookmarkEnd w:id="3"/>
      <w:bookmarkEnd w:id="4"/>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 xml:space="preserve">No recebimento do objeto licitado, tendo em vista se </w:t>
      </w:r>
      <w:r>
        <w:rPr>
          <w:rFonts w:ascii="Arial" w:hAnsi="Arial" w:cs="Arial" w:eastAsiaTheme="majorEastAsia"/>
          <w:highlight w:val="none"/>
          <w:lang w:val="pt-BR" w:eastAsia="pt-BR"/>
        </w:rPr>
        <w:t>tratar de construção com obra civil,</w:t>
      </w:r>
      <w:r>
        <w:rPr>
          <w:rFonts w:ascii="Arial" w:hAnsi="Arial" w:cs="Arial" w:eastAsiaTheme="majorEastAsia"/>
          <w:lang w:val="pt-BR" w:eastAsia="pt-BR"/>
        </w:rPr>
        <w:t xml:space="preserve"> serão observados os seguintes critérios:</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Provisoriamente, pelo responsável por seu acompanhamento e fiscalização, mediante termo detalhado, assinado pelas partes em até 15</w:t>
      </w:r>
      <w:r>
        <w:rPr>
          <w:rFonts w:ascii="Arial" w:hAnsi="Arial" w:cs="Arial" w:eastAsiaTheme="majorEastAsia"/>
          <w:lang w:val="en-US" w:eastAsia="pt-BR"/>
        </w:rPr>
        <w:t xml:space="preserve"> </w:t>
      </w:r>
      <w:r>
        <w:rPr>
          <w:rFonts w:ascii="Arial" w:hAnsi="Arial" w:cs="Arial" w:eastAsiaTheme="majorEastAsia"/>
          <w:lang w:val="pt-BR" w:eastAsia="pt-BR"/>
        </w:rPr>
        <w:t>(quinze) dias da comunicação escrita do contratado, quando verificado o cumprimento das exigências de caráter técnico.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Definitivamente, por servidor ou comissão designada pela autoridade competente, mediante termo detalhado que comprove o atendimento das exigências contratuais, observado o disposto no art. 119 da Lei Federal n.º 14.133/2021.</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Das condições de qualidade dos serviços e aceites:</w:t>
      </w:r>
    </w:p>
    <w:p>
      <w:pPr>
        <w:pStyle w:val="19"/>
        <w:widowControl/>
        <w:numPr>
          <w:ilvl w:val="2"/>
          <w:numId w:val="3"/>
        </w:numPr>
        <w:tabs>
          <w:tab w:val="left" w:pos="426"/>
        </w:tabs>
        <w:autoSpaceDE/>
        <w:autoSpaceDN/>
        <w:spacing w:before="120" w:after="120" w:line="24" w:lineRule="atLeast"/>
        <w:jc w:val="both"/>
        <w:rPr>
          <w:rFonts w:ascii="Arial" w:hAnsi="Arial" w:cs="Arial" w:eastAsiaTheme="majorEastAsia"/>
          <w:lang w:val="pt-BR" w:eastAsia="pt-BR"/>
        </w:rPr>
      </w:pPr>
      <w:r>
        <w:rPr>
          <w:rFonts w:ascii="Arial" w:hAnsi="Arial" w:cs="Arial" w:eastAsiaTheme="majorEastAsia"/>
          <w:lang w:val="pt-BR" w:eastAsia="pt-BR"/>
        </w:rPr>
        <w:t>Deverão ser atendidos os preceitos da Lei 10.406/2002 (Código Civil) e da Lei 8.078/1990 (Código de Defesa do Consumidor), bem como os artigos 89 e 119 da Lei n.º 14.133/2021 e jurisprudência do TCU, bem como as orientações técnicas do IBRAOP e demais normas técnicas, em especial a ABNT NBR 15.575 –norma de desempenho.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A responsabilidade do construtor por defeitos precoces nas obras é objetiva e atinge também os projetistas ou empresas de consultoria, cabendo-lhes eventuais provas de exclusão de culpabilidade, que devem se limitar tão somente às alegações de: caso fortuito, motivo de força maior, culpa exclusiva de terceiros e inexistência do defeito.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Em caso da necessidade de reparos e sem haver contestações a esse respeito, a Administração Pública deve se certificar de que as soluções apresentadas pela empreiteira responsável sejam as mais adequadas para garantir que os serviços não sejam meramente paliativos, ou seja, que durem por toda a vida útil da obra.</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a empreiteira responsável encaminhe uma peça de defesa, a Administração Pública deve analisá-la, emitindo relatório técnico que, concluindo pela sua procedência, recomende o arquivamento do processo, ou, concluindo pela improcedência, fundamente nova notificação ao executor, desta feita para o início imediato dos serviços. Essa nova notificação deve ser acompanhada de planilha orçamentária que descreva os serviços a serem executados, com suas respectivas quantidades e preços.</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Caso os reparos não sejam iniciados pela empreiteira no prazo estabelecido na notificação, a Administração Pública poderá solicitar demanda do devido processo judicial (para a Procuradoria-Geral da unidade federativa ou outro Órgão de equivalente função).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Não há impedimento, em casos urgentes, que a Administração Pública execute os serviços de reparação, para posterior ressarcimento da contratada à Administração Pública. Nesse caso, deve comunicar previamente o fato, informando do respectivo orçamento à empreiteira responsável, para posterior ressarcimento dos cofres públicos.</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eastAsiaTheme="majorEastAsia"/>
          <w:lang w:val="pt-BR" w:eastAsia="pt-BR"/>
        </w:rPr>
        <w:t>Dado o regular transcurso do processo administrativo ou judicial, bem com a urgência de se iniciarem os reparos, uma vez que sua postergação acarreta o agravamento dos defeitos e perigo ou desconforto aos usuários, deve-se também requisitar um pedido de antecipação de tutela e a arbitragem de uma multa diária pelo não cumprimento.</w:t>
      </w:r>
    </w:p>
    <w:p>
      <w:pPr>
        <w:pStyle w:val="19"/>
        <w:tabs>
          <w:tab w:val="left" w:pos="284"/>
        </w:tabs>
        <w:spacing w:line="24" w:lineRule="atLeast"/>
        <w:ind w:left="0"/>
        <w:rPr>
          <w:rFonts w:ascii="Arial" w:hAnsi="Arial" w:cs="Arial" w:eastAsiaTheme="majorEastAsia"/>
          <w:b/>
          <w:bCs/>
          <w:lang w:val="pt-BR" w:eastAsia="pt-BR"/>
        </w:rPr>
      </w:pPr>
    </w:p>
    <w:p>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REAJUSTE (art. 92, V)</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eastAsiaTheme="majorEastAsia"/>
          <w:lang w:val="pt-BR" w:eastAsia="pt-BR"/>
        </w:rPr>
      </w:pPr>
      <w:r>
        <w:rPr>
          <w:rFonts w:ascii="Arial" w:hAnsi="Arial" w:cs="Arial"/>
          <w:bCs/>
          <w:iCs/>
          <w:lang w:val="pt-BR"/>
        </w:rPr>
        <w:t xml:space="preserve">- </w:t>
      </w:r>
      <w:r>
        <w:rPr>
          <w:rFonts w:ascii="Arial" w:hAnsi="Arial" w:cs="Arial"/>
        </w:rPr>
        <w:t>Os</w:t>
      </w:r>
      <w:r>
        <w:rPr>
          <w:rFonts w:ascii="Arial" w:hAnsi="Arial" w:cs="Arial"/>
          <w:spacing w:val="-10"/>
        </w:rPr>
        <w:t xml:space="preserve"> </w:t>
      </w:r>
      <w:r>
        <w:rPr>
          <w:rFonts w:ascii="Arial" w:hAnsi="Arial" w:cs="Arial"/>
        </w:rPr>
        <w:t>preços</w:t>
      </w:r>
      <w:r>
        <w:rPr>
          <w:rFonts w:ascii="Arial" w:hAnsi="Arial" w:cs="Arial"/>
          <w:spacing w:val="-9"/>
        </w:rPr>
        <w:t xml:space="preserve"> </w:t>
      </w:r>
      <w:r>
        <w:rPr>
          <w:rFonts w:ascii="Arial" w:hAnsi="Arial" w:cs="Arial"/>
        </w:rPr>
        <w:t>que</w:t>
      </w:r>
      <w:r>
        <w:rPr>
          <w:rFonts w:ascii="Arial" w:hAnsi="Arial" w:cs="Arial"/>
          <w:spacing w:val="-8"/>
        </w:rPr>
        <w:t xml:space="preserve"> </w:t>
      </w:r>
      <w:r>
        <w:rPr>
          <w:rFonts w:ascii="Arial" w:hAnsi="Arial" w:cs="Arial"/>
        </w:rPr>
        <w:t>forem</w:t>
      </w:r>
      <w:r>
        <w:rPr>
          <w:rFonts w:ascii="Arial" w:hAnsi="Arial" w:cs="Arial"/>
          <w:spacing w:val="-8"/>
        </w:rPr>
        <w:t xml:space="preserve"> </w:t>
      </w:r>
      <w:r>
        <w:rPr>
          <w:rFonts w:ascii="Arial" w:hAnsi="Arial" w:cs="Arial"/>
        </w:rPr>
        <w:t>pactuados</w:t>
      </w:r>
      <w:r>
        <w:rPr>
          <w:rFonts w:ascii="Arial" w:hAnsi="Arial" w:cs="Arial"/>
          <w:spacing w:val="-9"/>
        </w:rPr>
        <w:t xml:space="preserve"> </w:t>
      </w:r>
      <w:r>
        <w:rPr>
          <w:rFonts w:ascii="Arial" w:hAnsi="Arial" w:cs="Arial"/>
        </w:rPr>
        <w:t>neste</w:t>
      </w:r>
      <w:r>
        <w:rPr>
          <w:rFonts w:ascii="Arial" w:hAnsi="Arial" w:cs="Arial"/>
          <w:spacing w:val="-7"/>
        </w:rPr>
        <w:t xml:space="preserve"> </w:t>
      </w:r>
      <w:r>
        <w:rPr>
          <w:rFonts w:ascii="Arial" w:hAnsi="Arial" w:cs="Arial"/>
        </w:rPr>
        <w:t>procedimento</w:t>
      </w:r>
      <w:r>
        <w:rPr>
          <w:rFonts w:ascii="Arial" w:hAnsi="Arial" w:cs="Arial"/>
          <w:spacing w:val="-8"/>
        </w:rPr>
        <w:t xml:space="preserve"> </w:t>
      </w:r>
      <w:r>
        <w:rPr>
          <w:rFonts w:ascii="Arial" w:hAnsi="Arial" w:cs="Arial"/>
        </w:rPr>
        <w:t>licitatório</w:t>
      </w:r>
      <w:r>
        <w:rPr>
          <w:rFonts w:ascii="Arial" w:hAnsi="Arial" w:cs="Arial"/>
          <w:spacing w:val="-8"/>
        </w:rPr>
        <w:t xml:space="preserve"> </w:t>
      </w:r>
      <w:r>
        <w:rPr>
          <w:rFonts w:ascii="Arial" w:hAnsi="Arial" w:cs="Arial"/>
        </w:rPr>
        <w:t>serão</w:t>
      </w:r>
      <w:r>
        <w:rPr>
          <w:rFonts w:ascii="Arial" w:hAnsi="Arial" w:cs="Arial"/>
          <w:spacing w:val="-7"/>
        </w:rPr>
        <w:t xml:space="preserve"> </w:t>
      </w:r>
      <w:r>
        <w:rPr>
          <w:rFonts w:ascii="Arial" w:hAnsi="Arial" w:cs="Arial"/>
          <w:spacing w:val="-2"/>
        </w:rPr>
        <w:t>irreajustáveis.</w:t>
      </w:r>
    </w:p>
    <w:p>
      <w:pPr>
        <w:pStyle w:val="19"/>
        <w:numPr>
          <w:ilvl w:val="1"/>
          <w:numId w:val="3"/>
        </w:numPr>
        <w:tabs>
          <w:tab w:val="left" w:pos="890"/>
        </w:tabs>
        <w:spacing w:before="0" w:line="24" w:lineRule="atLeast"/>
        <w:ind w:left="357" w:right="126"/>
        <w:jc w:val="both"/>
        <w:rPr>
          <w:rFonts w:ascii="Arial" w:hAnsi="Arial" w:cs="Arial"/>
        </w:rPr>
      </w:pPr>
      <w:bookmarkStart w:id="5" w:name="_Hlk180505214"/>
      <w:r>
        <w:rPr>
          <w:rFonts w:ascii="Arial" w:hAnsi="Arial" w:cs="Arial"/>
        </w:rPr>
        <w:t>- Todavia, o contratado fará jus ao reajuste contratual anual, o qual terá como base a variação mensal acumulada do Índice Nacional da Construção Civil (INCC-DI), publicado pela Fundação Getúlio Vargas (FGV)</w:t>
      </w:r>
      <w:r>
        <w:rPr>
          <w:rFonts w:ascii="Arial" w:hAnsi="Arial" w:cs="Arial"/>
          <w:spacing w:val="17"/>
        </w:rPr>
        <w:t xml:space="preserve"> </w:t>
      </w:r>
      <w:r>
        <w:rPr>
          <w:rFonts w:ascii="Arial" w:hAnsi="Arial" w:cs="Arial"/>
        </w:rPr>
        <w:t>tendo a periodicidade anual do reajustamento data-base vinculada à data do orçamento estimado, na forma do art. 25,§7º c/c 92, §3°, da L. 14.133/2021, implementada na forma do art. 136, I, do mesmo diploma.</w:t>
      </w:r>
    </w:p>
    <w:p>
      <w:pPr>
        <w:pStyle w:val="19"/>
        <w:tabs>
          <w:tab w:val="left" w:pos="890"/>
        </w:tabs>
        <w:spacing w:before="0" w:line="24" w:lineRule="atLeast"/>
        <w:ind w:left="357" w:right="126"/>
        <w:jc w:val="both"/>
        <w:rPr>
          <w:rFonts w:ascii="Arial" w:hAnsi="Arial" w:cs="Arial"/>
        </w:rPr>
      </w:pPr>
    </w:p>
    <w:bookmarkEnd w:id="5"/>
    <w:p>
      <w:pPr>
        <w:pStyle w:val="19"/>
        <w:numPr>
          <w:ilvl w:val="1"/>
          <w:numId w:val="3"/>
        </w:numPr>
        <w:tabs>
          <w:tab w:val="left" w:pos="899"/>
        </w:tabs>
        <w:spacing w:before="0" w:line="24" w:lineRule="atLeast"/>
        <w:ind w:left="357" w:right="142"/>
        <w:jc w:val="both"/>
        <w:rPr>
          <w:rFonts w:ascii="Arial" w:hAnsi="Arial" w:cs="Arial"/>
        </w:rPr>
      </w:pPr>
      <w:r>
        <w:rPr>
          <w:rFonts w:ascii="Arial" w:hAnsi="Arial" w:cs="Arial"/>
        </w:rPr>
        <w:t>- A prorrogação de prazos a pedido da CONTRATADA, e sem culpa do CONTRATANTE ou devidamente justificado e aceito pela fiscalização, não enseja reajuste ou correção.</w:t>
      </w:r>
    </w:p>
    <w:p>
      <w:pPr>
        <w:pStyle w:val="19"/>
        <w:numPr>
          <w:ilvl w:val="1"/>
          <w:numId w:val="3"/>
        </w:numPr>
        <w:tabs>
          <w:tab w:val="left" w:pos="848"/>
        </w:tabs>
        <w:spacing w:before="244" w:line="24" w:lineRule="atLeast"/>
        <w:jc w:val="both"/>
        <w:rPr>
          <w:rFonts w:ascii="Arial" w:hAnsi="Arial" w:cs="Arial"/>
        </w:rPr>
      </w:pPr>
      <w:r>
        <w:rPr>
          <w:rFonts w:ascii="Arial" w:hAnsi="Arial" w:cs="Arial"/>
        </w:rPr>
        <w:t>- Será</w:t>
      </w:r>
      <w:r>
        <w:rPr>
          <w:rFonts w:ascii="Arial" w:hAnsi="Arial" w:cs="Arial"/>
          <w:spacing w:val="-6"/>
        </w:rPr>
        <w:t xml:space="preserve"> </w:t>
      </w:r>
      <w:r>
        <w:rPr>
          <w:rFonts w:ascii="Arial" w:hAnsi="Arial" w:cs="Arial"/>
        </w:rPr>
        <w:t>objeto</w:t>
      </w:r>
      <w:r>
        <w:rPr>
          <w:rFonts w:ascii="Arial" w:hAnsi="Arial" w:cs="Arial"/>
          <w:spacing w:val="-7"/>
        </w:rPr>
        <w:t xml:space="preserve"> </w:t>
      </w:r>
      <w:r>
        <w:rPr>
          <w:rFonts w:ascii="Arial" w:hAnsi="Arial" w:cs="Arial"/>
        </w:rPr>
        <w:t>de</w:t>
      </w:r>
      <w:r>
        <w:rPr>
          <w:rFonts w:ascii="Arial" w:hAnsi="Arial" w:cs="Arial"/>
          <w:spacing w:val="-7"/>
        </w:rPr>
        <w:t xml:space="preserve"> </w:t>
      </w:r>
      <w:r>
        <w:rPr>
          <w:rFonts w:ascii="Arial" w:hAnsi="Arial" w:cs="Arial"/>
        </w:rPr>
        <w:t>reajuste</w:t>
      </w:r>
      <w:r>
        <w:rPr>
          <w:rFonts w:ascii="Arial" w:hAnsi="Arial" w:cs="Arial"/>
          <w:spacing w:val="-6"/>
        </w:rPr>
        <w:t xml:space="preserve"> </w:t>
      </w:r>
      <w:r>
        <w:rPr>
          <w:rFonts w:ascii="Arial" w:hAnsi="Arial" w:cs="Arial"/>
        </w:rPr>
        <w:t>apenas</w:t>
      </w:r>
      <w:r>
        <w:rPr>
          <w:rFonts w:ascii="Arial" w:hAnsi="Arial" w:cs="Arial"/>
          <w:spacing w:val="-6"/>
        </w:rPr>
        <w:t xml:space="preserve"> </w:t>
      </w:r>
      <w:r>
        <w:rPr>
          <w:rFonts w:ascii="Arial" w:hAnsi="Arial" w:cs="Arial"/>
        </w:rPr>
        <w:t>o</w:t>
      </w:r>
      <w:r>
        <w:rPr>
          <w:rFonts w:ascii="Arial" w:hAnsi="Arial" w:cs="Arial"/>
          <w:spacing w:val="-7"/>
        </w:rPr>
        <w:t xml:space="preserve"> </w:t>
      </w:r>
      <w:r>
        <w:rPr>
          <w:rFonts w:ascii="Arial" w:hAnsi="Arial" w:cs="Arial"/>
        </w:rPr>
        <w:t>valor</w:t>
      </w:r>
      <w:r>
        <w:rPr>
          <w:rFonts w:ascii="Arial" w:hAnsi="Arial" w:cs="Arial"/>
          <w:spacing w:val="-6"/>
        </w:rPr>
        <w:t xml:space="preserve"> </w:t>
      </w:r>
      <w:r>
        <w:rPr>
          <w:rFonts w:ascii="Arial" w:hAnsi="Arial" w:cs="Arial"/>
        </w:rPr>
        <w:t>remanescente</w:t>
      </w:r>
      <w:r>
        <w:rPr>
          <w:rFonts w:ascii="Arial" w:hAnsi="Arial" w:cs="Arial"/>
          <w:spacing w:val="-7"/>
        </w:rPr>
        <w:t xml:space="preserve"> </w:t>
      </w:r>
      <w:r>
        <w:rPr>
          <w:rFonts w:ascii="Arial" w:hAnsi="Arial" w:cs="Arial"/>
        </w:rPr>
        <w:t>até</w:t>
      </w:r>
      <w:r>
        <w:rPr>
          <w:rFonts w:ascii="Arial" w:hAnsi="Arial" w:cs="Arial"/>
          <w:spacing w:val="-5"/>
        </w:rPr>
        <w:t xml:space="preserve"> </w:t>
      </w:r>
      <w:r>
        <w:rPr>
          <w:rFonts w:ascii="Arial" w:hAnsi="Arial" w:cs="Arial"/>
        </w:rPr>
        <w:t>a</w:t>
      </w:r>
      <w:r>
        <w:rPr>
          <w:rFonts w:ascii="Arial" w:hAnsi="Arial" w:cs="Arial"/>
          <w:spacing w:val="-5"/>
        </w:rPr>
        <w:t xml:space="preserve"> </w:t>
      </w:r>
      <w:r>
        <w:rPr>
          <w:rFonts w:ascii="Arial" w:hAnsi="Arial" w:cs="Arial"/>
        </w:rPr>
        <w:t>data-base</w:t>
      </w:r>
      <w:r>
        <w:rPr>
          <w:rFonts w:ascii="Arial" w:hAnsi="Arial" w:cs="Arial"/>
          <w:spacing w:val="-6"/>
        </w:rPr>
        <w:t xml:space="preserve"> </w:t>
      </w:r>
      <w:r>
        <w:rPr>
          <w:rFonts w:ascii="Arial" w:hAnsi="Arial" w:cs="Arial"/>
        </w:rPr>
        <w:t>definida</w:t>
      </w:r>
      <w:r>
        <w:rPr>
          <w:rFonts w:ascii="Arial" w:hAnsi="Arial" w:cs="Arial"/>
          <w:spacing w:val="-6"/>
        </w:rPr>
        <w:t xml:space="preserve"> </w:t>
      </w:r>
      <w:r>
        <w:rPr>
          <w:rFonts w:ascii="Arial" w:hAnsi="Arial" w:cs="Arial"/>
        </w:rPr>
        <w:t>no</w:t>
      </w:r>
      <w:r>
        <w:rPr>
          <w:rFonts w:ascii="Arial" w:hAnsi="Arial" w:cs="Arial"/>
          <w:spacing w:val="-7"/>
        </w:rPr>
        <w:t xml:space="preserve"> </w:t>
      </w:r>
      <w:r>
        <w:rPr>
          <w:rFonts w:ascii="Arial" w:hAnsi="Arial" w:cs="Arial"/>
        </w:rPr>
        <w:t>item</w:t>
      </w:r>
      <w:r>
        <w:rPr>
          <w:rFonts w:ascii="Arial" w:hAnsi="Arial" w:cs="Arial"/>
          <w:spacing w:val="-6"/>
        </w:rPr>
        <w:t xml:space="preserve"> </w:t>
      </w:r>
      <w:r>
        <w:rPr>
          <w:rFonts w:ascii="Arial" w:hAnsi="Arial" w:cs="Arial"/>
          <w:spacing w:val="-2"/>
          <w:highlight w:val="none"/>
        </w:rPr>
        <w:t>12.2</w:t>
      </w:r>
      <w:r>
        <w:rPr>
          <w:rFonts w:ascii="Arial" w:hAnsi="Arial" w:cs="Arial"/>
          <w:spacing w:val="-2"/>
        </w:rPr>
        <w:t xml:space="preserve"> do Termo de Referência.</w:t>
      </w:r>
    </w:p>
    <w:p>
      <w:pPr>
        <w:pStyle w:val="19"/>
        <w:numPr>
          <w:ilvl w:val="1"/>
          <w:numId w:val="3"/>
        </w:numPr>
        <w:tabs>
          <w:tab w:val="left" w:pos="886"/>
        </w:tabs>
        <w:spacing w:before="243" w:line="24" w:lineRule="atLeast"/>
        <w:ind w:left="357" w:right="142" w:hanging="357"/>
        <w:jc w:val="both"/>
        <w:rPr>
          <w:rFonts w:ascii="Arial" w:hAnsi="Arial" w:cs="Arial"/>
        </w:rPr>
      </w:pPr>
      <w:r>
        <w:rPr>
          <w:rFonts w:ascii="Arial" w:hAnsi="Arial" w:cs="Arial"/>
        </w:rPr>
        <w:t>- As partes convencionam que o prazo decadencial para o Contratado solicitar o pagamento do reajuste contratual, que deverá ser protocolizado na Unidade Protocoladora do órgão contratante, é de 90 (noventa) dias, contados da publicação do índice ajustado contratualmente, sob pena de decair o seu respectivo direito de crédito, nos termos do art. 211, do Código Civil.</w:t>
      </w:r>
    </w:p>
    <w:p>
      <w:pPr>
        <w:pStyle w:val="19"/>
        <w:tabs>
          <w:tab w:val="left" w:pos="284"/>
        </w:tabs>
        <w:spacing w:line="24" w:lineRule="atLeast"/>
        <w:ind w:left="0"/>
        <w:rPr>
          <w:rFonts w:ascii="Arial" w:hAnsi="Arial" w:cs="Arial" w:eastAsiaTheme="majorEastAsia"/>
          <w:b/>
          <w:bCs/>
          <w:lang w:val="pt-BR" w:eastAsia="pt-BR"/>
        </w:rPr>
      </w:pPr>
    </w:p>
    <w:p>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Notificar os emitentes das garantias quanto ao início de processo administrativo para apuração de descumprimento de cláusulas contratuais.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4" w:lineRule="atLeast"/>
        <w:ind w:left="142"/>
        <w:jc w:val="both"/>
        <w:rPr>
          <w:rFonts w:ascii="Arial" w:hAnsi="Arial" w:cs="Arial"/>
          <w:bCs/>
          <w:iCs/>
          <w:lang w:val="pt-BR"/>
        </w:rPr>
      </w:pPr>
    </w:p>
    <w:p>
      <w:pPr>
        <w:pStyle w:val="19"/>
        <w:numPr>
          <w:ilvl w:val="0"/>
          <w:numId w:val="3"/>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Manter durante toda a vigência do contrato, em compatibilidade com as obrigações assumidas, todas as condições exigidas para habilitação na licitação; </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pPr>
        <w:pStyle w:val="19"/>
        <w:widowControl/>
        <w:tabs>
          <w:tab w:val="left" w:pos="426"/>
        </w:tabs>
        <w:autoSpaceDE/>
        <w:autoSpaceDN/>
        <w:spacing w:before="120" w:after="120" w:line="24" w:lineRule="atLeast"/>
        <w:ind w:left="142"/>
        <w:jc w:val="both"/>
        <w:rPr>
          <w:rFonts w:ascii="Arial" w:hAnsi="Arial" w:cs="Arial"/>
          <w:bCs/>
          <w:iCs/>
          <w:lang w:val="pt-BR"/>
        </w:rPr>
      </w:pPr>
    </w:p>
    <w:p>
      <w:pPr>
        <w:pStyle w:val="19"/>
        <w:numPr>
          <w:ilvl w:val="0"/>
          <w:numId w:val="3"/>
        </w:numPr>
        <w:tabs>
          <w:tab w:val="left" w:pos="284"/>
        </w:tabs>
        <w:spacing w:line="24" w:lineRule="atLeast"/>
        <w:ind w:left="0" w:firstLine="0"/>
        <w:rPr>
          <w:rFonts w:ascii="Arial" w:hAnsi="Arial" w:cs="Arial"/>
          <w:bCs/>
          <w:iCs/>
          <w:lang w:val="pt-BR"/>
        </w:rPr>
      </w:pPr>
      <w:r>
        <w:rPr>
          <w:rFonts w:ascii="Arial" w:hAnsi="Arial" w:cs="Arial" w:eastAsiaTheme="majorEastAsia"/>
          <w:b/>
          <w:bCs/>
          <w:lang w:val="pt-BR" w:eastAsia="pt-BR"/>
        </w:rPr>
        <w:t xml:space="preserve">  CLÁUSULA DÉCIMA PRIMEIRA– GARANTIA DE EXECUÇÃO (art. 92, XII)</w:t>
      </w:r>
    </w:p>
    <w:p>
      <w:pPr>
        <w:pStyle w:val="19"/>
        <w:widowControl/>
        <w:tabs>
          <w:tab w:val="left" w:pos="426"/>
        </w:tabs>
        <w:autoSpaceDE/>
        <w:autoSpaceDN/>
        <w:spacing w:before="120" w:after="120" w:line="24" w:lineRule="atLeast"/>
        <w:ind w:left="0"/>
        <w:jc w:val="both"/>
        <w:rPr>
          <w:rFonts w:ascii="Arial" w:hAnsi="Arial" w:cs="Arial"/>
          <w:bCs/>
          <w:iCs/>
          <w:lang w:val="pt-BR"/>
        </w:rPr>
      </w:pPr>
      <w:r>
        <w:rPr>
          <w:rFonts w:ascii="Arial" w:hAnsi="Arial" w:cs="Arial"/>
          <w:bCs/>
          <w:iCs/>
          <w:lang w:val="pt-BR"/>
        </w:rPr>
        <w:t>11.1  O prazo de garantia contratual dos serviços será de 05 anos, contados a partir do primeiro dia útil subsequente à data do recebimento definitivo do objeto, na forma do art. 618 do Código Civil.</w:t>
      </w:r>
    </w:p>
    <w:p>
      <w:pPr>
        <w:pStyle w:val="19"/>
        <w:widowControl/>
        <w:tabs>
          <w:tab w:val="left" w:pos="426"/>
        </w:tabs>
        <w:autoSpaceDE/>
        <w:autoSpaceDN/>
        <w:spacing w:before="120" w:after="120" w:line="24" w:lineRule="atLeast"/>
        <w:ind w:left="0"/>
        <w:jc w:val="both"/>
        <w:rPr>
          <w:rFonts w:ascii="Arial" w:hAnsi="Arial" w:cs="Arial"/>
          <w:bCs/>
          <w:i/>
          <w:color w:val="FF0000"/>
          <w:lang w:val="pt-BR"/>
        </w:rPr>
      </w:pPr>
      <w:r>
        <w:rPr>
          <w:rFonts w:ascii="Arial" w:hAnsi="Arial" w:cs="Arial"/>
          <w:bCs/>
          <w:iCs/>
          <w:lang w:val="pt-BR"/>
        </w:rPr>
        <w:t xml:space="preserve">11.2  A contratação conta com garantia de execução, nos moldes do </w:t>
      </w:r>
      <w:r>
        <w:fldChar w:fldCharType="begin"/>
      </w:r>
      <w:r>
        <w:instrText xml:space="preserve"> HYPERLINK "http://www.planalto.gov.br/ccivil_03/_ato2019-2022/2021/lei/L14133.htm" \l "art96" </w:instrText>
      </w:r>
      <w:r>
        <w:fldChar w:fldCharType="separate"/>
      </w:r>
      <w:r>
        <w:rPr>
          <w:rFonts w:ascii="Arial" w:hAnsi="Arial" w:cs="Arial"/>
          <w:bCs/>
          <w:iCs/>
          <w:lang w:val="pt-BR"/>
        </w:rPr>
        <w:t>art. 96 da Lei nº 14.133</w:t>
      </w:r>
      <w:r>
        <w:rPr>
          <w:rFonts w:ascii="Arial" w:hAnsi="Arial" w:cs="Arial"/>
          <w:bCs/>
          <w:iCs/>
          <w:lang w:val="pt-BR"/>
        </w:rPr>
        <w:fldChar w:fldCharType="end"/>
      </w:r>
      <w:r>
        <w:rPr>
          <w:rFonts w:ascii="Arial" w:hAnsi="Arial" w:cs="Arial"/>
          <w:bCs/>
          <w:iCs/>
          <w:lang w:val="pt-BR"/>
        </w:rPr>
        <w:t>, de 2021, na modalidade CONCORRÊNCIA ELETRÔNICA, em valor correspondente a 5% (cinco por cento) do valor inicial/total/anual do contrato.</w:t>
      </w:r>
    </w:p>
    <w:p>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Seguro-garantia; </w:t>
      </w:r>
    </w:p>
    <w:p>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Fiança bancária emitida por banco ou instituição financeira devidamente autorizada a operar no País pelo Banco Central do Brasil. </w:t>
      </w:r>
    </w:p>
    <w:p>
      <w:pPr>
        <w:pStyle w:val="19"/>
        <w:widowControl/>
        <w:numPr>
          <w:ilvl w:val="2"/>
          <w:numId w:val="4"/>
        </w:numPr>
        <w:tabs>
          <w:tab w:val="left" w:pos="426"/>
        </w:tabs>
        <w:autoSpaceDE/>
        <w:autoSpaceDN/>
        <w:spacing w:before="120" w:after="120" w:line="24" w:lineRule="atLeast"/>
        <w:jc w:val="both"/>
        <w:rPr>
          <w:rFonts w:ascii="Arial" w:hAnsi="Arial" w:cs="Arial"/>
          <w:bCs/>
          <w:iCs/>
          <w:lang w:val="pt-BR"/>
        </w:rPr>
      </w:pPr>
      <w:r>
        <w:rPr>
          <w:rFonts w:ascii="Arial" w:hAnsi="Arial" w:cs="Arial"/>
          <w:bCs/>
          <w:iCs/>
          <w:lang w:val="pt-BR" w:eastAsia="zh-CN"/>
        </w:rPr>
        <w:t xml:space="preserve">Título de capitalização custeado por pagamento único, com resgate pelo valor total. </w:t>
      </w:r>
    </w:p>
    <w:p>
      <w:pPr>
        <w:pStyle w:val="19"/>
        <w:numPr>
          <w:ilvl w:val="0"/>
          <w:numId w:val="4"/>
        </w:numPr>
        <w:tabs>
          <w:tab w:val="left" w:pos="284"/>
        </w:tabs>
        <w:spacing w:line="24" w:lineRule="atLeast"/>
        <w:ind w:left="0" w:firstLine="0"/>
        <w:rPr>
          <w:rFonts w:ascii="Arial" w:hAnsi="Arial" w:cs="Arial" w:eastAsiaTheme="majorEastAsia"/>
          <w:b/>
          <w:bCs/>
          <w:lang w:val="pt-BR" w:eastAsia="pt-BR"/>
        </w:rPr>
      </w:pPr>
      <w:r>
        <w:rPr>
          <w:rFonts w:ascii="Arial" w:hAnsi="Arial" w:cs="Arial" w:eastAsiaTheme="majorEastAsia"/>
          <w:b/>
          <w:bCs/>
          <w:lang w:val="pt-BR" w:eastAsia="pt-BR"/>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rFonts w:ascii="Arial" w:hAnsi="Arial" w:cs="Arial"/>
          <w:bCs/>
          <w:iCs/>
          <w:lang w:val="pt-BR"/>
        </w:rPr>
        <w:t>Lei nº 14.133, de 2021</w:t>
      </w:r>
      <w:r>
        <w:rPr>
          <w:rFonts w:ascii="Arial" w:hAnsi="Arial" w:cs="Arial"/>
          <w:bCs/>
          <w:iCs/>
          <w:lang w:val="pt-BR"/>
        </w:rPr>
        <w:fldChar w:fldCharType="end"/>
      </w:r>
      <w:r>
        <w:rPr>
          <w:rFonts w:ascii="Arial" w:hAnsi="Arial" w:cs="Arial"/>
          <w:bCs/>
          <w:iCs/>
          <w:lang w:val="pt-BR"/>
        </w:rPr>
        <w:t>, o contratado que:</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5"/>
        </w:numPr>
        <w:suppressAutoHyphens/>
        <w:autoSpaceDE/>
        <w:autoSpaceDN/>
        <w:spacing w:before="120" w:after="120" w:line="24" w:lineRule="atLeast"/>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6" w:name="_Hlk114504069"/>
      <w:r>
        <w:rPr>
          <w:rStyle w:val="9"/>
          <w:rFonts w:ascii="Arial" w:hAnsi="Arial" w:eastAsia="Arial" w:cs="Arial"/>
        </w:rPr>
        <w:t>Lei nº 14.133, de 2021</w:t>
      </w:r>
      <w:bookmarkEnd w:id="6"/>
      <w:r>
        <w:rPr>
          <w:rStyle w:val="9"/>
          <w:rFonts w:ascii="Arial" w:hAnsi="Arial" w:eastAsia="Arial" w:cs="Arial"/>
        </w:rPr>
        <w:fldChar w:fldCharType="end"/>
      </w:r>
      <w:r>
        <w:rPr>
          <w:rFonts w:ascii="Arial" w:hAnsi="Arial" w:eastAsia="Arial" w:cs="Arial"/>
        </w:rPr>
        <w:t>);</w:t>
      </w:r>
    </w:p>
    <w:p>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6"/>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6"/>
        </w:numPr>
        <w:suppressAutoHyphens/>
        <w:autoSpaceDE/>
        <w:autoSpaceDN/>
        <w:spacing w:before="120" w:after="120" w:line="24" w:lineRule="atLeast"/>
        <w:ind w:left="851" w:firstLine="0"/>
        <w:contextualSpacing/>
        <w:jc w:val="both"/>
        <w:rPr>
          <w:rFonts w:ascii="Arial" w:hAnsi="Arial" w:eastAsia="Arial" w:cs="Arial"/>
        </w:rPr>
      </w:pPr>
      <w:r>
        <w:rPr>
          <w:rFonts w:ascii="Arial" w:hAnsi="Arial" w:eastAsia="Arial" w:cs="Arial"/>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pPr>
        <w:pStyle w:val="19"/>
        <w:widowControl/>
        <w:numPr>
          <w:ilvl w:val="1"/>
          <w:numId w:val="6"/>
        </w:numPr>
        <w:suppressAutoHyphens/>
        <w:autoSpaceDE/>
        <w:autoSpaceDN/>
        <w:spacing w:before="120" w:after="120" w:line="24" w:lineRule="atLeast"/>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A aplicação das sanções previstas neste Contrato não exclui, em hipótese alguma, a obrigação de reparação integral do dano causado ao Contratante (</w:t>
      </w:r>
      <w:r>
        <w:fldChar w:fldCharType="begin"/>
      </w:r>
      <w:r>
        <w:instrText xml:space="preserve"> HYPERLINK "http://www.planalto.gov.br/ccivil_03/_ato2019-2022/2021/lei/L14133.htm" \l "art156§9" </w:instrText>
      </w:r>
      <w:r>
        <w:fldChar w:fldCharType="separate"/>
      </w:r>
      <w:r>
        <w:rPr>
          <w:rStyle w:val="9"/>
          <w:rFonts w:ascii="Arial" w:hAnsi="Arial" w:cs="Arial"/>
        </w:rPr>
        <w:t>art. 156, §9º, da Lei nº 14.133, de 2021</w:t>
      </w:r>
      <w:r>
        <w:rPr>
          <w:rStyle w:val="9"/>
          <w:rFonts w:ascii="Arial" w:hAnsi="Arial" w:cs="Arial"/>
        </w:rPr>
        <w:fldChar w:fldCharType="end"/>
      </w:r>
      <w:r>
        <w:rPr>
          <w:rFonts w:ascii="Arial" w:hAnsi="Arial" w:cs="Arial"/>
        </w:rPr>
        <w:t>)</w:t>
      </w:r>
    </w:p>
    <w:p>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Todas as sanções previstas neste Contrato poderão ser aplicadas cumulativamente com a multa (</w:t>
      </w:r>
      <w:r>
        <w:fldChar w:fldCharType="begin"/>
      </w:r>
      <w:r>
        <w:instrText xml:space="preserve"> HYPERLINK "http://www.planalto.gov.br/ccivil_03/_ato2019-2022/2021/lei/L14133.htm" \l "art156§7" </w:instrText>
      </w:r>
      <w:r>
        <w:fldChar w:fldCharType="separate"/>
      </w:r>
      <w:r>
        <w:rPr>
          <w:rStyle w:val="9"/>
          <w:rFonts w:ascii="Arial" w:hAnsi="Arial" w:cs="Arial"/>
        </w:rPr>
        <w:t>art. 156, §7º, da Lei nº 14.133, de 2021</w:t>
      </w:r>
      <w:r>
        <w:rPr>
          <w:rStyle w:val="9"/>
          <w:rFonts w:ascii="Arial" w:hAnsi="Arial" w:cs="Arial"/>
        </w:rPr>
        <w:fldChar w:fldCharType="end"/>
      </w:r>
      <w:r>
        <w:rPr>
          <w:rFonts w:ascii="Arial" w:hAnsi="Arial" w:cs="Arial"/>
        </w:rPr>
        <w:t>).</w:t>
      </w:r>
    </w:p>
    <w:p>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Antes da aplicação da multa será facultada a defesa do interessado no prazo de 15 (quinze) dias úteis, contado da data de sua intimação (</w:t>
      </w:r>
      <w:r>
        <w:fldChar w:fldCharType="begin"/>
      </w:r>
      <w:r>
        <w:instrText xml:space="preserve"> HYPERLINK "http://www.planalto.gov.br/ccivil_03/_ato2019-2022/2021/lei/L14133.htm" \l "art157" </w:instrText>
      </w:r>
      <w:r>
        <w:fldChar w:fldCharType="separate"/>
      </w:r>
      <w:r>
        <w:rPr>
          <w:rStyle w:val="9"/>
          <w:rFonts w:ascii="Arial" w:hAnsi="Arial" w:cs="Arial"/>
        </w:rPr>
        <w:t>art. 157, da Lei nº 14.133, de 2021</w:t>
      </w:r>
      <w:r>
        <w:rPr>
          <w:rStyle w:val="9"/>
          <w:rFonts w:ascii="Arial" w:hAnsi="Arial" w:cs="Arial"/>
        </w:rPr>
        <w:fldChar w:fldCharType="end"/>
      </w:r>
      <w:r>
        <w:rPr>
          <w:rFonts w:ascii="Arial" w:hAnsi="Arial" w:cs="Arial"/>
        </w:rPr>
        <w:t>)</w:t>
      </w:r>
    </w:p>
    <w:p>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instrText xml:space="preserve"> HYPERLINK "http://www.planalto.gov.br/ccivil_03/_ato2019-2022/2021/lei/L14133.htm" \l "art156§8" </w:instrText>
      </w:r>
      <w:r>
        <w:fldChar w:fldCharType="separate"/>
      </w:r>
      <w:r>
        <w:rPr>
          <w:rStyle w:val="9"/>
          <w:rFonts w:ascii="Arial" w:hAnsi="Arial" w:cs="Arial"/>
        </w:rPr>
        <w:t>art. 156, §8º, da Lei nº 14.133, de 2021</w:t>
      </w:r>
      <w:r>
        <w:rPr>
          <w:rStyle w:val="9"/>
          <w:rFonts w:ascii="Arial" w:hAnsi="Arial" w:cs="Arial"/>
        </w:rPr>
        <w:fldChar w:fldCharType="end"/>
      </w:r>
      <w:r>
        <w:rPr>
          <w:rFonts w:ascii="Arial" w:hAnsi="Arial" w:cs="Arial"/>
        </w:rPr>
        <w:t>).</w:t>
      </w:r>
    </w:p>
    <w:p>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lang w:val="pt-BR"/>
        </w:rPr>
        <w:t xml:space="preserve"> </w:t>
      </w:r>
      <w:r>
        <w:rPr>
          <w:rFonts w:ascii="Arial" w:hAnsi="Arial" w:cs="Arial"/>
        </w:rPr>
        <w:t xml:space="preserve">Previamente ao encaminhamento à cobrança judicial, a multa poderá ser recolhida administrativamente no prazo máximo de </w:t>
      </w:r>
      <w:r>
        <w:rPr>
          <w:rFonts w:ascii="Arial" w:hAnsi="Arial" w:cs="Arial"/>
          <w:i/>
          <w:iCs/>
        </w:rPr>
        <w:t xml:space="preserve">30 (trinta) </w:t>
      </w:r>
      <w:r>
        <w:rPr>
          <w:rFonts w:ascii="Arial" w:hAnsi="Arial" w:cs="Arial"/>
        </w:rPr>
        <w:t>dias, a contar da data do recebimento da comunicação enviada pela autoridade competente.</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A aplicação das sanções realizar-se-á em processo administrativo que assegure o contraditório e a ampla defesa ao Contratado, observando-se o procedimento previsto no </w:t>
      </w:r>
      <w:r>
        <w:rPr>
          <w:rFonts w:ascii="Arial" w:hAnsi="Arial" w:cs="Arial"/>
          <w:b/>
          <w:bCs/>
        </w:rPr>
        <w:t xml:space="preserve">caput </w:t>
      </w:r>
      <w:r>
        <w:rPr>
          <w:rFonts w:ascii="Arial" w:hAnsi="Arial" w:cs="Arial"/>
        </w:rPr>
        <w:t xml:space="preserve">e parágrafos do </w:t>
      </w:r>
      <w:r>
        <w:fldChar w:fldCharType="begin"/>
      </w:r>
      <w:r>
        <w:instrText xml:space="preserve"> HYPERLINK "http://www.planalto.gov.br/ccivil_03/_ato2019-2022/2021/lei/L14133.htm" \l "art158" </w:instrText>
      </w:r>
      <w:r>
        <w:fldChar w:fldCharType="separate"/>
      </w:r>
      <w:r>
        <w:rPr>
          <w:rStyle w:val="9"/>
          <w:rFonts w:ascii="Arial" w:hAnsi="Arial" w:cs="Arial"/>
        </w:rPr>
        <w:t>art. 158 da Lei nº 14.133, de 2021</w:t>
      </w:r>
      <w:r>
        <w:rPr>
          <w:rStyle w:val="9"/>
          <w:rFonts w:ascii="Arial" w:hAnsi="Arial" w:cs="Arial"/>
        </w:rPr>
        <w:fldChar w:fldCharType="end"/>
      </w:r>
      <w:r>
        <w:rPr>
          <w:rFonts w:ascii="Arial" w:hAnsi="Arial" w:cs="Arial"/>
        </w:rPr>
        <w:t>, para as penalidades de impedimento de licitar e contratar e de declaração de inidoneidade para licitar ou contratar.</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Na aplicação das sanções serão considerados (</w:t>
      </w:r>
      <w:r>
        <w:fldChar w:fldCharType="begin"/>
      </w:r>
      <w:r>
        <w:instrText xml:space="preserve"> HYPERLINK "http://www.planalto.gov.br/ccivil_03/_ato2019-2022/2021/lei/L14133.htm" \l "art156§1" </w:instrText>
      </w:r>
      <w:r>
        <w:fldChar w:fldCharType="separate"/>
      </w:r>
      <w:r>
        <w:rPr>
          <w:rStyle w:val="9"/>
          <w:rFonts w:ascii="Arial" w:hAnsi="Arial" w:cs="Arial"/>
        </w:rPr>
        <w:t>art. 156, §1º, da Lei nº 14.133, de 2021</w:t>
      </w:r>
      <w:r>
        <w:rPr>
          <w:rStyle w:val="9"/>
          <w:rFonts w:ascii="Arial" w:hAnsi="Arial" w:cs="Arial"/>
        </w:rPr>
        <w:fldChar w:fldCharType="end"/>
      </w:r>
      <w:r>
        <w:rPr>
          <w:rFonts w:ascii="Arial" w:hAnsi="Arial" w:cs="Arial"/>
        </w:rPr>
        <w:t>):</w:t>
      </w:r>
    </w:p>
    <w:p>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7"/>
        </w:numPr>
        <w:suppressAutoHyphens/>
        <w:autoSpaceDE/>
        <w:autoSpaceDN/>
        <w:spacing w:before="120" w:after="120" w:line="24" w:lineRule="atLeast"/>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atos previstos como infrações administrativas na </w:t>
      </w:r>
      <w:r>
        <w:fldChar w:fldCharType="begin"/>
      </w:r>
      <w:r>
        <w:instrText xml:space="preserve"> HYPERLINK "http://www.planalto.gov.br/ccivil_03/_ato2019-2022/2021/lei/L14133.htm" </w:instrText>
      </w:r>
      <w:r>
        <w:fldChar w:fldCharType="separate"/>
      </w:r>
      <w:r>
        <w:rPr>
          <w:rStyle w:val="9"/>
          <w:rFonts w:ascii="Arial" w:hAnsi="Arial" w:cs="Arial"/>
        </w:rPr>
        <w:t>Lei nº 14.133, de 2021</w:t>
      </w:r>
      <w:r>
        <w:rPr>
          <w:rStyle w:val="9"/>
          <w:rFonts w:ascii="Arial" w:hAnsi="Arial" w:cs="Arial"/>
        </w:rPr>
        <w:fldChar w:fldCharType="end"/>
      </w:r>
      <w:r>
        <w:rPr>
          <w:rFonts w:ascii="Arial" w:hAnsi="Arial" w:cs="Arial"/>
        </w:rPr>
        <w:t xml:space="preserve">, ou em outras leis de licitações e contratos da Administração Pública que também sejam tipificados como atos lesivos na </w:t>
      </w:r>
      <w:r>
        <w:fldChar w:fldCharType="begin"/>
      </w:r>
      <w:r>
        <w:instrText xml:space="preserve"> HYPERLINK "https://www.planalto.gov.br/ccivil_03/_ato2011-2014/2013/lei/l12846.htm" </w:instrText>
      </w:r>
      <w:r>
        <w:fldChar w:fldCharType="separate"/>
      </w:r>
      <w:r>
        <w:rPr>
          <w:rStyle w:val="9"/>
          <w:rFonts w:ascii="Arial" w:hAnsi="Arial" w:cs="Arial"/>
        </w:rPr>
        <w:t>Lei nº 12.846, de 2013</w:t>
      </w:r>
      <w:r>
        <w:rPr>
          <w:rStyle w:val="9"/>
          <w:rFonts w:ascii="Arial" w:hAnsi="Arial" w:cs="Arial"/>
        </w:rPr>
        <w:fldChar w:fldCharType="end"/>
      </w:r>
      <w:r>
        <w:rPr>
          <w:rFonts w:ascii="Arial" w:hAnsi="Arial" w:cs="Arial"/>
        </w:rPr>
        <w:t>, serão apurados e julgados conjuntamente, nos mesmos autos, observados o rito procedimental e autoridade competente definidos na referida Lei (</w:t>
      </w:r>
      <w:r>
        <w:fldChar w:fldCharType="begin"/>
      </w:r>
      <w:r>
        <w:instrText xml:space="preserve"> HYPERLINK "http://www.planalto.gov.br/ccivil_03/_ato2019-2022/2021/lei/L14133.htm%25art159" </w:instrText>
      </w:r>
      <w:r>
        <w:fldChar w:fldCharType="separate"/>
      </w:r>
      <w:r>
        <w:rPr>
          <w:rStyle w:val="9"/>
          <w:rFonts w:ascii="Arial" w:hAnsi="Arial" w:cs="Arial"/>
        </w:rPr>
        <w:t>art. 159</w:t>
      </w:r>
      <w:r>
        <w:rPr>
          <w:rStyle w:val="9"/>
          <w:rFonts w:ascii="Arial" w:hAnsi="Arial" w:cs="Arial"/>
        </w:rPr>
        <w:fldChar w:fldCharType="end"/>
      </w:r>
      <w:r>
        <w:rPr>
          <w:rFonts w:ascii="Arial" w:hAnsi="Arial" w:cs="Arial"/>
        </w:rPr>
        <w:t>).</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instrText xml:space="preserve"> HYPERLINK "http://www.planalto.gov.br/ccivil_03/_ato2019-2022/2021/lei/L14133.htm" \l "art160" </w:instrText>
      </w:r>
      <w:r>
        <w:fldChar w:fldCharType="separate"/>
      </w:r>
      <w:r>
        <w:rPr>
          <w:rStyle w:val="9"/>
          <w:rFonts w:ascii="Arial" w:hAnsi="Arial" w:cs="Arial"/>
        </w:rPr>
        <w:t>art. 160, da Lei nº 14.133, de 2021</w:t>
      </w:r>
      <w:r>
        <w:rPr>
          <w:rStyle w:val="9"/>
          <w:rFonts w:ascii="Arial" w:hAnsi="Arial" w:cs="Arial"/>
        </w:rPr>
        <w:fldChar w:fldCharType="end"/>
      </w:r>
      <w:r>
        <w:rPr>
          <w:rFonts w:ascii="Arial" w:hAnsi="Arial" w:cs="Arial"/>
        </w:rPr>
        <w:t>).</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instrText xml:space="preserve"> HYPERLINK "http://www.planalto.gov.br/ccivil_03/_ato2019-2022/2021/lei/L14133.htm" \l "art161" </w:instrText>
      </w:r>
      <w:r>
        <w:fldChar w:fldCharType="separate"/>
      </w:r>
      <w:r>
        <w:rPr>
          <w:rStyle w:val="9"/>
          <w:rFonts w:ascii="Arial" w:hAnsi="Arial" w:cs="Arial"/>
        </w:rPr>
        <w:t>Art. 161, da Lei nº 14.133, de 2021</w:t>
      </w:r>
      <w:r>
        <w:rPr>
          <w:rStyle w:val="9"/>
          <w:rFonts w:ascii="Arial" w:hAnsi="Arial" w:cs="Arial"/>
        </w:rPr>
        <w:fldChar w:fldCharType="end"/>
      </w:r>
      <w:r>
        <w:rPr>
          <w:rFonts w:ascii="Arial" w:hAnsi="Arial" w:cs="Arial"/>
        </w:rPr>
        <w:t>).</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i/>
          <w:iCs/>
        </w:rPr>
      </w:pPr>
      <w:r>
        <w:rPr>
          <w:rFonts w:ascii="Arial" w:hAnsi="Arial" w:cs="Arial"/>
        </w:rPr>
        <w:t xml:space="preserve">As sanções de impedimento de licitar e contratar e declaração de inidoneidade para licitar ou contratar são passíveis de reabilitação na forma do </w:t>
      </w:r>
      <w:r>
        <w:fldChar w:fldCharType="begin"/>
      </w:r>
      <w:r>
        <w:instrText xml:space="preserve"> HYPERLINK "http://www.planalto.gov.br/ccivil_03/_ato2019-2022/2021/lei/L14133.htm" \l "163" </w:instrText>
      </w:r>
      <w:r>
        <w:fldChar w:fldCharType="separate"/>
      </w:r>
      <w:r>
        <w:rPr>
          <w:rStyle w:val="9"/>
          <w:rFonts w:ascii="Arial" w:hAnsi="Arial" w:cs="Arial"/>
        </w:rPr>
        <w:t>art. 163 da Lei nº 14.133/21</w:t>
      </w:r>
      <w:r>
        <w:rPr>
          <w:rStyle w:val="9"/>
          <w:rFonts w:ascii="Arial" w:hAnsi="Arial" w:cs="Arial"/>
        </w:rPr>
        <w:fldChar w:fldCharType="end"/>
      </w:r>
      <w:r>
        <w:rPr>
          <w:rFonts w:ascii="Arial" w:hAnsi="Arial" w:cs="Arial"/>
        </w:rPr>
        <w:t>.</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r>
        <w:fldChar w:fldCharType="begin"/>
      </w:r>
      <w:r>
        <w:instrText xml:space="preserve"> HYPERLINK "https://www.gov.br/compras/pt-br/acesso-a-informacao/legislacao/instrucoes-normativas/instrucao-normativa-seges-me-no-26-de-13-de-abril-de-2022" </w:instrText>
      </w:r>
      <w:r>
        <w:fldChar w:fldCharType="separate"/>
      </w:r>
      <w:r>
        <w:rPr>
          <w:rStyle w:val="9"/>
          <w:rFonts w:ascii="Arial" w:hAnsi="Arial" w:cs="Arial"/>
        </w:rPr>
        <w:t>Normativa SEGES/ME nº 26, de 13 de abril de 2022</w:t>
      </w:r>
      <w:r>
        <w:rPr>
          <w:rStyle w:val="9"/>
          <w:rFonts w:ascii="Arial" w:hAnsi="Arial" w:cs="Arial"/>
        </w:rPr>
        <w:fldChar w:fldCharType="end"/>
      </w:r>
      <w:r>
        <w:rPr>
          <w:rFonts w:ascii="Arial" w:hAnsi="Arial" w:cs="Arial"/>
        </w:rPr>
        <w:t xml:space="preserve">. </w:t>
      </w:r>
    </w:p>
    <w:p>
      <w:pPr>
        <w:pStyle w:val="19"/>
        <w:widowControl/>
        <w:tabs>
          <w:tab w:val="left" w:pos="426"/>
        </w:tabs>
        <w:autoSpaceDE/>
        <w:autoSpaceDN/>
        <w:spacing w:before="120" w:after="120" w:line="24" w:lineRule="atLeast"/>
        <w:ind w:left="0"/>
        <w:jc w:val="both"/>
        <w:rPr>
          <w:rFonts w:ascii="Arial" w:hAnsi="Arial" w:cs="Arial"/>
        </w:rPr>
      </w:pPr>
    </w:p>
    <w:p>
      <w:pPr>
        <w:pStyle w:val="34"/>
        <w:numPr>
          <w:ilvl w:val="0"/>
          <w:numId w:val="4"/>
        </w:numPr>
        <w:tabs>
          <w:tab w:val="left" w:pos="284"/>
          <w:tab w:val="left" w:pos="993"/>
        </w:tabs>
        <w:spacing w:line="24" w:lineRule="atLeast"/>
        <w:ind w:left="0" w:firstLine="0"/>
        <w:rPr>
          <w:rFonts w:ascii="Arial" w:hAnsi="Arial" w:cs="Arial"/>
        </w:rPr>
      </w:pPr>
      <w:r>
        <w:rPr>
          <w:rFonts w:ascii="Arial" w:hAnsi="Arial" w:cs="Arial"/>
          <w:sz w:val="22"/>
          <w:szCs w:val="22"/>
        </w:rPr>
        <w:t xml:space="preserve">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pPr>
        <w:pStyle w:val="19"/>
        <w:widowControl/>
        <w:numPr>
          <w:ilvl w:val="1"/>
          <w:numId w:val="4"/>
        </w:numPr>
        <w:tabs>
          <w:tab w:val="left" w:pos="709"/>
        </w:tabs>
        <w:autoSpaceDE/>
        <w:autoSpaceDN/>
        <w:spacing w:before="120" w:after="120" w:line="24" w:lineRule="atLeast"/>
        <w:ind w:left="0" w:firstLine="0"/>
        <w:jc w:val="both"/>
        <w:rPr>
          <w:rFonts w:ascii="Arial" w:hAnsi="Arial" w:cs="Arial" w:eastAsiaTheme="minorEastAsia"/>
          <w:sz w:val="20"/>
          <w:szCs w:val="20"/>
          <w:lang w:val="pt-BR" w:eastAsia="pt-BR"/>
        </w:rPr>
      </w:pPr>
      <w:r>
        <w:rPr>
          <w:rFonts w:ascii="Arial" w:hAnsi="Arial" w:cs="Arial"/>
        </w:rPr>
        <w:t>O contrato será extinto quando cumpridas as obrigações de ambas as partes, ainda que isso ocorra antes do prazo estipulado para tanto.</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Quando a não conclusão do contrato referida no item anterior decorrer de culpa do contratado:</w:t>
      </w:r>
    </w:p>
    <w:p>
      <w:pPr>
        <w:pStyle w:val="19"/>
        <w:widowControl/>
        <w:numPr>
          <w:ilvl w:val="1"/>
          <w:numId w:val="8"/>
        </w:numPr>
        <w:tabs>
          <w:tab w:val="left" w:pos="426"/>
        </w:tabs>
        <w:autoSpaceDE/>
        <w:autoSpaceDN/>
        <w:spacing w:before="120" w:after="120" w:line="24" w:lineRule="atLeast"/>
        <w:ind w:left="709"/>
        <w:jc w:val="both"/>
        <w:rPr>
          <w:rFonts w:ascii="Arial" w:hAnsi="Arial" w:cs="Arial"/>
        </w:rPr>
      </w:pPr>
      <w:r>
        <w:rPr>
          <w:rFonts w:ascii="Arial" w:hAnsi="Arial" w:cs="Arial"/>
        </w:rPr>
        <w:t xml:space="preserve">ficará ele constituído em mora, sendo-lhe aplicáveis as respectivas sanções administrativas; e  </w:t>
      </w:r>
    </w:p>
    <w:p>
      <w:pPr>
        <w:pStyle w:val="19"/>
        <w:widowControl/>
        <w:numPr>
          <w:ilvl w:val="1"/>
          <w:numId w:val="8"/>
        </w:numPr>
        <w:tabs>
          <w:tab w:val="left" w:pos="426"/>
        </w:tabs>
        <w:autoSpaceDE/>
        <w:autoSpaceDN/>
        <w:spacing w:before="120" w:after="120" w:line="24" w:lineRule="atLeast"/>
        <w:ind w:left="709"/>
        <w:jc w:val="both"/>
        <w:rPr>
          <w:rFonts w:ascii="Arial" w:hAnsi="Arial" w:cs="Arial"/>
        </w:rPr>
      </w:pPr>
      <w:r>
        <w:rPr>
          <w:rFonts w:ascii="Arial" w:hAnsi="Arial" w:cs="Arial"/>
        </w:rPr>
        <w:t>poderá a Administração optar pela extinção do contrato e, nesse caso, adotará as medidas admitidas em lei para a continuidade da execução contratual</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 xml:space="preserve">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Pr>
          <w:rStyle w:val="9"/>
          <w:rFonts w:ascii="Arial" w:hAnsi="Arial" w:cs="Arial"/>
        </w:rPr>
        <w:t>artigo 137 da Lei nº 14.133/21</w:t>
      </w:r>
      <w:r>
        <w:rPr>
          <w:rStyle w:val="9"/>
          <w:rFonts w:ascii="Arial" w:hAnsi="Arial" w:cs="Arial"/>
        </w:rPr>
        <w:fldChar w:fldCharType="end"/>
      </w:r>
      <w:r>
        <w:rPr>
          <w:rFonts w:ascii="Arial" w:hAnsi="Arial" w:cs="Arial"/>
        </w:rPr>
        <w:t xml:space="preserve">, bem como amigavelmente, </w:t>
      </w:r>
      <w:r>
        <w:rPr>
          <w:rFonts w:ascii="Arial" w:hAnsi="Arial" w:cs="Arial"/>
          <w:color w:val="000000" w:themeColor="text1"/>
          <w14:textFill>
            <w14:solidFill>
              <w14:schemeClr w14:val="tx1"/>
            </w14:solidFill>
          </w14:textFill>
        </w:rPr>
        <w:t>assegurados o contraditório e a ampla defesa</w:t>
      </w:r>
      <w:r>
        <w:rPr>
          <w:rFonts w:ascii="Arial" w:hAnsi="Arial" w:cs="Arial"/>
        </w:rPr>
        <w:t>.</w:t>
      </w:r>
    </w:p>
    <w:p>
      <w:pPr>
        <w:pStyle w:val="19"/>
        <w:widowControl/>
        <w:numPr>
          <w:ilvl w:val="2"/>
          <w:numId w:val="4"/>
        </w:numPr>
        <w:tabs>
          <w:tab w:val="left" w:pos="426"/>
        </w:tabs>
        <w:autoSpaceDE/>
        <w:autoSpaceDN/>
        <w:spacing w:before="120" w:after="120" w:line="24" w:lineRule="atLeast"/>
        <w:jc w:val="both"/>
        <w:rPr>
          <w:rFonts w:ascii="Arial" w:hAnsi="Arial" w:cs="Arial"/>
        </w:rPr>
      </w:pPr>
      <w:r>
        <w:rPr>
          <w:rFonts w:ascii="Arial" w:hAnsi="Arial" w:cs="Arial"/>
        </w:rPr>
        <w:t xml:space="preserve">  Nesta hipótese, aplicam-se também os </w:t>
      </w:r>
      <w:r>
        <w:fldChar w:fldCharType="begin"/>
      </w:r>
      <w:r>
        <w:instrText xml:space="preserve"> HYPERLINK "http://www.planalto.gov.br/ccivil_03/_ato2019-2022/2021/lei/L14133.htm" \l "art138" </w:instrText>
      </w:r>
      <w:r>
        <w:fldChar w:fldCharType="separate"/>
      </w:r>
      <w:r>
        <w:rPr>
          <w:rStyle w:val="9"/>
          <w:rFonts w:ascii="Arial" w:hAnsi="Arial" w:cs="Arial"/>
        </w:rPr>
        <w:t>artigos 138 e 139</w:t>
      </w:r>
      <w:r>
        <w:rPr>
          <w:rStyle w:val="9"/>
          <w:rFonts w:ascii="Arial" w:hAnsi="Arial" w:cs="Arial"/>
        </w:rPr>
        <w:fldChar w:fldCharType="end"/>
      </w:r>
      <w:r>
        <w:rPr>
          <w:rFonts w:ascii="Arial" w:hAnsi="Arial" w:cs="Arial"/>
        </w:rPr>
        <w:t xml:space="preserve"> da mesma Lei.</w:t>
      </w:r>
    </w:p>
    <w:p>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A alteração social ou a modificação da finalidade ou da estrutura da empresa não ensejará a extinção se não restringir sua capacidade de concluir o contrato.</w:t>
      </w:r>
    </w:p>
    <w:p>
      <w:pPr>
        <w:pStyle w:val="19"/>
        <w:widowControl/>
        <w:numPr>
          <w:ilvl w:val="3"/>
          <w:numId w:val="4"/>
        </w:numPr>
        <w:tabs>
          <w:tab w:val="left" w:pos="426"/>
        </w:tabs>
        <w:autoSpaceDE/>
        <w:autoSpaceDN/>
        <w:spacing w:before="120" w:after="120" w:line="24" w:lineRule="atLeast"/>
        <w:jc w:val="both"/>
        <w:rPr>
          <w:rFonts w:ascii="Arial" w:hAnsi="Arial" w:cs="Arial"/>
        </w:rPr>
      </w:pPr>
      <w:r>
        <w:rPr>
          <w:rFonts w:ascii="Arial" w:hAnsi="Arial" w:cs="Arial"/>
          <w:color w:val="000000" w:themeColor="text1"/>
          <w14:textFill>
            <w14:solidFill>
              <w14:schemeClr w14:val="tx1"/>
            </w14:solidFill>
          </w14:textFill>
        </w:rPr>
        <w:t xml:space="preserve">Se a </w:t>
      </w:r>
      <w:r>
        <w:rPr>
          <w:rFonts w:ascii="Arial" w:hAnsi="Arial" w:cs="Arial"/>
        </w:rPr>
        <w:t>operação</w:t>
      </w:r>
      <w:r>
        <w:rPr>
          <w:rFonts w:ascii="Arial" w:hAnsi="Arial" w:cs="Arial"/>
          <w:color w:val="000000" w:themeColor="text1"/>
          <w14:textFill>
            <w14:solidFill>
              <w14:schemeClr w14:val="tx1"/>
            </w14:solidFill>
          </w14:textFill>
        </w:rPr>
        <w:t xml:space="preserve"> </w:t>
      </w:r>
      <w:r>
        <w:rPr>
          <w:rFonts w:ascii="Arial" w:hAnsi="Arial" w:cs="Arial"/>
        </w:rPr>
        <w:t>implicar mudança da pessoa jurídica contratada, deverá ser formalizado termo aditivo para alteração subjetiva.</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O termo de extinção, sempre que possível, será precedido:</w:t>
      </w:r>
    </w:p>
    <w:p>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Balanço dos eventos contratuais já cumpridos ou parcialmente cumpridos;</w:t>
      </w:r>
    </w:p>
    <w:p>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Relação dos pagamentos já efetuados e ainda devidos;</w:t>
      </w:r>
    </w:p>
    <w:p>
      <w:pPr>
        <w:pStyle w:val="19"/>
        <w:widowControl/>
        <w:numPr>
          <w:ilvl w:val="2"/>
          <w:numId w:val="4"/>
        </w:numPr>
        <w:tabs>
          <w:tab w:val="left" w:pos="426"/>
        </w:tabs>
        <w:autoSpaceDE/>
        <w:autoSpaceDN/>
        <w:spacing w:before="120" w:after="120" w:line="24" w:lineRule="atLeast"/>
        <w:ind w:left="993" w:hanging="851"/>
        <w:jc w:val="both"/>
        <w:rPr>
          <w:rFonts w:ascii="Arial" w:hAnsi="Arial" w:cs="Arial"/>
        </w:rPr>
      </w:pPr>
      <w:r>
        <w:rPr>
          <w:rFonts w:ascii="Arial" w:hAnsi="Arial" w:cs="Arial"/>
        </w:rPr>
        <w:t>Indenizações e multas.</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A extinção do contrato não configura óbice para o reconhecimento do desequilíbrio econômico-financeiro, hipótese em que será concedida indenização por meio de termo indenizatório (</w:t>
      </w:r>
      <w:r>
        <w:fldChar w:fldCharType="begin"/>
      </w:r>
      <w:r>
        <w:instrText xml:space="preserve"> HYPERLINK "http://www.planalto.gov.br/ccivil_03/_ato2019-2022/2021/lei/L14133.htm" \l "art131" </w:instrText>
      </w:r>
      <w:r>
        <w:fldChar w:fldCharType="separate"/>
      </w:r>
      <w:r>
        <w:rPr>
          <w:rStyle w:val="9"/>
          <w:rFonts w:ascii="Arial" w:hAnsi="Arial" w:cs="Arial"/>
        </w:rPr>
        <w:t xml:space="preserve">art. 131, </w:t>
      </w:r>
      <w:r>
        <w:rPr>
          <w:rStyle w:val="9"/>
          <w:rFonts w:ascii="Arial" w:hAnsi="Arial" w:cs="Arial"/>
          <w:i/>
          <w:iCs/>
        </w:rPr>
        <w:t xml:space="preserve">caput, </w:t>
      </w:r>
      <w:r>
        <w:rPr>
          <w:rStyle w:val="9"/>
          <w:rFonts w:ascii="Arial" w:hAnsi="Arial" w:cs="Arial"/>
        </w:rPr>
        <w:t>da Lei n.º 14.133, de 2021).</w:t>
      </w:r>
      <w:r>
        <w:rPr>
          <w:rStyle w:val="9"/>
          <w:rFonts w:ascii="Arial" w:hAnsi="Arial" w:cs="Arial"/>
        </w:rPr>
        <w:fldChar w:fldCharType="end"/>
      </w:r>
      <w:r>
        <w:rPr>
          <w:rFonts w:ascii="Arial" w:hAnsi="Arial" w:cs="Arial"/>
        </w:rPr>
        <w:t xml:space="preserve"> </w:t>
      </w:r>
    </w:p>
    <w:p>
      <w:pPr>
        <w:pStyle w:val="19"/>
        <w:widowControl/>
        <w:numPr>
          <w:ilvl w:val="1"/>
          <w:numId w:val="4"/>
        </w:numPr>
        <w:tabs>
          <w:tab w:val="left" w:pos="426"/>
        </w:tabs>
        <w:autoSpaceDE/>
        <w:autoSpaceDN/>
        <w:spacing w:before="120" w:after="120" w:line="24" w:lineRule="atLeast"/>
        <w:ind w:left="0" w:firstLine="0"/>
        <w:jc w:val="both"/>
        <w:rPr>
          <w:rFonts w:ascii="Arial" w:hAnsi="Arial" w:cs="Arial"/>
        </w:rPr>
      </w:pPr>
      <w:r>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4"/>
        </w:numPr>
        <w:tabs>
          <w:tab w:val="left" w:pos="284"/>
          <w:tab w:val="left" w:pos="993"/>
        </w:tabs>
        <w:spacing w:line="24" w:lineRule="atLeast"/>
        <w:ind w:left="0" w:firstLine="0"/>
        <w:rPr>
          <w:rFonts w:ascii="Arial" w:hAnsi="Arial" w:cs="Arial"/>
        </w:rPr>
      </w:pPr>
      <w:r>
        <w:rPr>
          <w:rFonts w:ascii="Arial" w:hAnsi="Arial" w:cs="Arial"/>
          <w:sz w:val="22"/>
          <w:szCs w:val="22"/>
        </w:rPr>
        <w:t xml:space="preserve">  CLÁUSULA DÉCIMA QUARTA – DOTAÇÃO ORÇAMENTÁRIA</w:t>
      </w:r>
      <w:r>
        <w:rPr>
          <w:rFonts w:ascii="Arial" w:hAnsi="Arial" w:cs="Arial"/>
        </w:rPr>
        <w:t xml:space="preserve"> </w:t>
      </w:r>
      <w:r>
        <w:rPr>
          <w:rFonts w:ascii="Arial" w:hAnsi="Arial" w:cs="Arial"/>
          <w:sz w:val="22"/>
          <w:szCs w:val="22"/>
        </w:rPr>
        <w:t>(</w:t>
      </w:r>
      <w:r>
        <w:fldChar w:fldCharType="begin"/>
      </w:r>
      <w:r>
        <w:instrText xml:space="preserve"> HYPERLINK "http://www.planalto.gov.br/ccivil_03/_ato2019-2022/2021/lei/L14133.htm" \l "art92" </w:instrText>
      </w:r>
      <w:r>
        <w:fldChar w:fldCharType="separate"/>
      </w:r>
      <w:r>
        <w:rPr>
          <w:rStyle w:val="9"/>
          <w:rFonts w:ascii="Arial" w:hAnsi="Arial" w:cs="Arial"/>
          <w:b w:val="0"/>
          <w:bCs w:val="0"/>
          <w:sz w:val="22"/>
          <w:szCs w:val="22"/>
        </w:rPr>
        <w:t>art. 92, VIII</w:t>
      </w:r>
      <w:r>
        <w:rPr>
          <w:rStyle w:val="9"/>
          <w:rFonts w:ascii="Arial" w:hAnsi="Arial" w:cs="Arial"/>
          <w:b w:val="0"/>
          <w:bCs w:val="0"/>
          <w:sz w:val="22"/>
          <w:szCs w:val="22"/>
        </w:rPr>
        <w:fldChar w:fldCharType="end"/>
      </w:r>
      <w:r>
        <w:rPr>
          <w:rFonts w:ascii="Arial" w:hAnsi="Arial" w:cs="Arial"/>
          <w:sz w:val="22"/>
          <w:szCs w:val="22"/>
        </w:rPr>
        <w:t>)</w:t>
      </w:r>
    </w:p>
    <w:p>
      <w:pPr>
        <w:pStyle w:val="19"/>
        <w:numPr>
          <w:ilvl w:val="1"/>
          <w:numId w:val="4"/>
        </w:numPr>
        <w:tabs>
          <w:tab w:val="left" w:pos="426"/>
        </w:tabs>
        <w:spacing w:line="24" w:lineRule="atLeast"/>
        <w:ind w:left="0" w:firstLine="0"/>
        <w:jc w:val="both"/>
        <w:rPr>
          <w:rFonts w:ascii="Arial" w:hAnsi="Arial" w:cs="Arial"/>
          <w:lang w:val="pt-BR"/>
        </w:rPr>
      </w:pPr>
      <w:r>
        <w:rPr>
          <w:rFonts w:ascii="Arial" w:hAnsi="Arial" w:cs="Arial"/>
          <w:lang w:val="pt-BR"/>
        </w:rPr>
        <w:t>As despesas decorrentes da presente contratação correrão à conta de recursos específicos consignados no Orçamento do Município deste exercício, na dotação abaixo discriminada:</w:t>
      </w:r>
    </w:p>
    <w:p>
      <w:pPr>
        <w:pStyle w:val="19"/>
        <w:tabs>
          <w:tab w:val="left" w:pos="426"/>
        </w:tabs>
        <w:spacing w:line="24" w:lineRule="atLeast"/>
        <w:ind w:left="0"/>
        <w:jc w:val="both"/>
        <w:rPr>
          <w:rFonts w:ascii="Arial" w:hAnsi="Arial" w:cs="Arial"/>
          <w:lang w:val="pt-BR"/>
        </w:rPr>
      </w:pPr>
    </w:p>
    <w:tbl>
      <w:tblPr>
        <w:tblStyle w:val="6"/>
        <w:tblW w:w="8872" w:type="dxa"/>
        <w:tblInd w:w="197" w:type="dxa"/>
        <w:tblLayout w:type="fixed"/>
        <w:tblCellMar>
          <w:top w:w="55" w:type="dxa"/>
          <w:left w:w="55" w:type="dxa"/>
          <w:bottom w:w="55" w:type="dxa"/>
          <w:right w:w="55" w:type="dxa"/>
        </w:tblCellMar>
      </w:tblPr>
      <w:tblGrid>
        <w:gridCol w:w="4677"/>
        <w:gridCol w:w="4195"/>
      </w:tblGrid>
      <w:tr>
        <w:tblPrEx>
          <w:tblCellMar>
            <w:top w:w="55" w:type="dxa"/>
            <w:left w:w="55" w:type="dxa"/>
            <w:bottom w:w="55" w:type="dxa"/>
            <w:right w:w="55" w:type="dxa"/>
          </w:tblCellMar>
        </w:tblPrEx>
        <w:tc>
          <w:tcPr>
            <w:tcW w:w="4677" w:type="dxa"/>
            <w:tcBorders>
              <w:top w:val="single" w:color="000000" w:sz="2" w:space="0"/>
              <w:left w:val="single" w:color="000000" w:sz="2" w:space="0"/>
              <w:bottom w:val="single" w:color="000000" w:sz="2" w:space="0"/>
            </w:tcBorders>
          </w:tcPr>
          <w:p>
            <w:pPr>
              <w:spacing w:line="24" w:lineRule="atLeast"/>
              <w:jc w:val="both"/>
              <w:rPr>
                <w:rFonts w:ascii="Arial" w:hAnsi="Arial" w:cs="Arial"/>
                <w:b/>
                <w:bCs/>
                <w:szCs w:val="24"/>
              </w:rPr>
            </w:pPr>
            <w:r>
              <w:rPr>
                <w:rFonts w:ascii="Arial" w:hAnsi="Arial" w:cs="Arial"/>
                <w:b/>
                <w:bCs/>
                <w:szCs w:val="24"/>
              </w:rPr>
              <w:t>GESTÃO / UNIDADE</w:t>
            </w:r>
          </w:p>
        </w:tc>
        <w:tc>
          <w:tcPr>
            <w:tcW w:w="4195" w:type="dxa"/>
            <w:tcBorders>
              <w:top w:val="single" w:color="000000" w:sz="2" w:space="0"/>
              <w:left w:val="single" w:color="000000" w:sz="2" w:space="0"/>
              <w:bottom w:val="single" w:color="000000" w:sz="2" w:space="0"/>
              <w:right w:val="single" w:color="000000" w:sz="2" w:space="0"/>
            </w:tcBorders>
          </w:tcPr>
          <w:p>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Secretaria Municipal de Educação </w:t>
            </w:r>
          </w:p>
        </w:tc>
      </w:tr>
      <w:tr>
        <w:tblPrEx>
          <w:tblCellMar>
            <w:top w:w="55" w:type="dxa"/>
            <w:left w:w="55" w:type="dxa"/>
            <w:bottom w:w="55" w:type="dxa"/>
            <w:right w:w="55" w:type="dxa"/>
          </w:tblCellMar>
        </w:tblPrEx>
        <w:tc>
          <w:tcPr>
            <w:tcW w:w="4677" w:type="dxa"/>
            <w:tcBorders>
              <w:left w:val="single" w:color="000000" w:sz="2" w:space="0"/>
              <w:bottom w:val="single" w:color="000000" w:sz="2" w:space="0"/>
            </w:tcBorders>
          </w:tcPr>
          <w:p>
            <w:pPr>
              <w:spacing w:line="24" w:lineRule="atLeast"/>
              <w:jc w:val="both"/>
              <w:rPr>
                <w:rFonts w:ascii="Arial" w:hAnsi="Arial" w:cs="Arial"/>
                <w:b/>
                <w:bCs/>
                <w:szCs w:val="24"/>
              </w:rPr>
            </w:pPr>
            <w:r>
              <w:rPr>
                <w:rFonts w:ascii="Arial" w:hAnsi="Arial" w:cs="Arial"/>
                <w:b/>
                <w:bCs/>
                <w:szCs w:val="24"/>
              </w:rPr>
              <w:t>FONTE DE RECURSOS</w:t>
            </w:r>
          </w:p>
        </w:tc>
        <w:tc>
          <w:tcPr>
            <w:tcW w:w="4195" w:type="dxa"/>
            <w:tcBorders>
              <w:left w:val="single" w:color="000000" w:sz="2" w:space="0"/>
              <w:bottom w:val="single" w:color="000000" w:sz="2" w:space="0"/>
              <w:right w:val="single" w:color="000000" w:sz="2" w:space="0"/>
            </w:tcBorders>
          </w:tcPr>
          <w:p>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150010010000 </w:t>
            </w:r>
          </w:p>
        </w:tc>
      </w:tr>
      <w:tr>
        <w:tblPrEx>
          <w:tblCellMar>
            <w:top w:w="55" w:type="dxa"/>
            <w:left w:w="55" w:type="dxa"/>
            <w:bottom w:w="55" w:type="dxa"/>
            <w:right w:w="55" w:type="dxa"/>
          </w:tblCellMar>
        </w:tblPrEx>
        <w:tc>
          <w:tcPr>
            <w:tcW w:w="4677" w:type="dxa"/>
            <w:tcBorders>
              <w:left w:val="single" w:color="000000" w:sz="2" w:space="0"/>
              <w:bottom w:val="single" w:color="000000" w:sz="2" w:space="0"/>
            </w:tcBorders>
          </w:tcPr>
          <w:p>
            <w:pPr>
              <w:spacing w:line="24" w:lineRule="atLeast"/>
              <w:jc w:val="both"/>
              <w:rPr>
                <w:rFonts w:ascii="Arial" w:hAnsi="Arial" w:cs="Arial"/>
                <w:b/>
                <w:bCs/>
                <w:szCs w:val="24"/>
              </w:rPr>
            </w:pPr>
            <w:r>
              <w:rPr>
                <w:rFonts w:ascii="Arial" w:hAnsi="Arial" w:cs="Arial"/>
                <w:b/>
                <w:bCs/>
                <w:szCs w:val="24"/>
              </w:rPr>
              <w:t>PROGRAMA DE TRABALHO</w:t>
            </w:r>
          </w:p>
        </w:tc>
        <w:tc>
          <w:tcPr>
            <w:tcW w:w="4195" w:type="dxa"/>
            <w:tcBorders>
              <w:left w:val="single" w:color="000000" w:sz="2" w:space="0"/>
              <w:bottom w:val="single" w:color="000000" w:sz="2" w:space="0"/>
              <w:right w:val="single" w:color="000000" w:sz="2" w:space="0"/>
            </w:tcBorders>
          </w:tcPr>
          <w:p>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07002.1236110502.326 </w:t>
            </w:r>
          </w:p>
        </w:tc>
      </w:tr>
      <w:tr>
        <w:tblPrEx>
          <w:tblCellMar>
            <w:top w:w="55" w:type="dxa"/>
            <w:left w:w="55" w:type="dxa"/>
            <w:bottom w:w="55" w:type="dxa"/>
            <w:right w:w="55" w:type="dxa"/>
          </w:tblCellMar>
        </w:tblPrEx>
        <w:tc>
          <w:tcPr>
            <w:tcW w:w="4677" w:type="dxa"/>
            <w:tcBorders>
              <w:left w:val="single" w:color="000000" w:sz="2" w:space="0"/>
              <w:bottom w:val="single" w:color="000000" w:sz="2" w:space="0"/>
            </w:tcBorders>
          </w:tcPr>
          <w:p>
            <w:pPr>
              <w:spacing w:line="24" w:lineRule="atLeast"/>
              <w:jc w:val="both"/>
              <w:rPr>
                <w:rFonts w:ascii="Arial" w:hAnsi="Arial" w:cs="Arial"/>
                <w:b/>
                <w:bCs/>
                <w:szCs w:val="24"/>
              </w:rPr>
            </w:pPr>
            <w:r>
              <w:rPr>
                <w:rFonts w:ascii="Arial" w:hAnsi="Arial" w:cs="Arial"/>
                <w:b/>
                <w:bCs/>
                <w:szCs w:val="24"/>
              </w:rPr>
              <w:t>ELEMENTO DE DESPESA</w:t>
            </w:r>
          </w:p>
        </w:tc>
        <w:tc>
          <w:tcPr>
            <w:tcW w:w="4195" w:type="dxa"/>
            <w:tcBorders>
              <w:left w:val="single" w:color="000000" w:sz="2" w:space="0"/>
              <w:bottom w:val="single" w:color="000000" w:sz="2" w:space="0"/>
              <w:right w:val="single" w:color="000000" w:sz="2" w:space="0"/>
            </w:tcBorders>
          </w:tcPr>
          <w:p>
            <w:pPr>
              <w:widowControl/>
              <w:autoSpaceDE/>
              <w:autoSpaceDN/>
              <w:spacing w:line="24" w:lineRule="atLeast"/>
              <w:rPr>
                <w:rFonts w:ascii="Arial" w:hAnsi="Arial" w:eastAsia="Times New Roman" w:cs="Arial"/>
                <w:highlight w:val="yellow"/>
                <w:lang w:val="pt-BR" w:eastAsia="pt-BR"/>
              </w:rPr>
            </w:pPr>
            <w:r>
              <w:rPr>
                <w:rFonts w:ascii="Arial" w:hAnsi="Arial" w:eastAsia="Times New Roman" w:cs="Arial"/>
                <w:highlight w:val="none"/>
                <w:lang w:val="pt-BR" w:eastAsia="pt-BR"/>
              </w:rPr>
              <w:t xml:space="preserve">449051-01 </w:t>
            </w:r>
          </w:p>
        </w:tc>
      </w:tr>
    </w:tbl>
    <w:p>
      <w:pPr>
        <w:pStyle w:val="19"/>
        <w:tabs>
          <w:tab w:val="left" w:pos="426"/>
        </w:tabs>
        <w:spacing w:line="24" w:lineRule="atLeast"/>
        <w:ind w:left="0"/>
        <w:jc w:val="both"/>
        <w:rPr>
          <w:rFonts w:ascii="Arial" w:hAnsi="Arial" w:cs="Arial"/>
          <w:i/>
          <w:iCs/>
          <w:lang w:val="pt-BR"/>
        </w:rPr>
      </w:pPr>
    </w:p>
    <w:p>
      <w:pPr>
        <w:pStyle w:val="19"/>
        <w:numPr>
          <w:ilvl w:val="1"/>
          <w:numId w:val="4"/>
        </w:numPr>
        <w:tabs>
          <w:tab w:val="left" w:pos="426"/>
        </w:tabs>
        <w:spacing w:line="24" w:lineRule="atLeast"/>
        <w:ind w:left="0" w:firstLine="0"/>
        <w:jc w:val="both"/>
        <w:rPr>
          <w:rFonts w:ascii="Arial" w:hAnsi="Arial" w:cs="Arial"/>
          <w:i/>
          <w:iCs/>
          <w:lang w:val="pt-BR"/>
        </w:rPr>
      </w:pPr>
      <w:r>
        <w:rPr>
          <w:rFonts w:ascii="Arial" w:hAnsi="Arial" w:cs="Arial"/>
          <w:lang w:val="pt-BR"/>
        </w:rPr>
        <w:t>A dotação relativa aos exercícios financeiros subsequentes será indicada após aprovação da Lei Orçamentária respectiva e liberação dos créditos correspondentes, mediante apostilamento</w:t>
      </w:r>
      <w:r>
        <w:rPr>
          <w:rFonts w:ascii="Arial" w:hAnsi="Arial" w:cs="Arial"/>
          <w:i/>
          <w:iCs/>
          <w:lang w:val="pt-BR"/>
        </w:rPr>
        <w:t>.</w:t>
      </w:r>
    </w:p>
    <w:p>
      <w:pPr>
        <w:pStyle w:val="45"/>
        <w:numPr>
          <w:ilvl w:val="0"/>
          <w:numId w:val="4"/>
        </w:numPr>
        <w:ind w:left="0" w:firstLine="0"/>
      </w:pPr>
      <w:r>
        <w:rPr>
          <w:b/>
          <w:bCs/>
          <w:sz w:val="22"/>
          <w:szCs w:val="22"/>
        </w:rPr>
        <w:t>CLÁUSULA DÉCIMA QUINTA – ALTERAÇÕES</w:t>
      </w:r>
    </w:p>
    <w:p>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Eventuais alterações </w:t>
      </w:r>
      <w:r>
        <w:rPr>
          <w:rFonts w:ascii="Arial" w:hAnsi="Arial" w:cs="Arial"/>
          <w:lang w:val="pt-BR"/>
        </w:rPr>
        <w:t>contratuais</w:t>
      </w:r>
      <w:r>
        <w:rPr>
          <w:rFonts w:ascii="Arial" w:hAnsi="Arial" w:cs="Arial"/>
        </w:rPr>
        <w:t xml:space="preserve"> reger-se-ão pela disciplina dos </w:t>
      </w:r>
      <w:r>
        <w:fldChar w:fldCharType="begin"/>
      </w:r>
      <w:r>
        <w:instrText xml:space="preserve"> HYPERLINK "http://www.planalto.gov.br/ccivil_03/_ato2019-2022/2021/lei/L14133.htm" \l "art124" </w:instrText>
      </w:r>
      <w:r>
        <w:fldChar w:fldCharType="separate"/>
      </w:r>
      <w:r>
        <w:rPr>
          <w:rStyle w:val="9"/>
          <w:rFonts w:ascii="Arial" w:hAnsi="Arial" w:cs="Arial"/>
        </w:rPr>
        <w:t>arts. 124 e seguintes da Lei nº 14.133, de 2021</w:t>
      </w:r>
      <w:r>
        <w:rPr>
          <w:rStyle w:val="9"/>
          <w:rFonts w:ascii="Arial" w:hAnsi="Arial" w:cs="Arial"/>
        </w:rPr>
        <w:fldChar w:fldCharType="end"/>
      </w:r>
      <w:r>
        <w:rPr>
          <w:rFonts w:ascii="Arial" w:hAnsi="Arial" w:cs="Arial"/>
        </w:rPr>
        <w:t>.</w:t>
      </w:r>
    </w:p>
    <w:p>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As alterações contratuais deverão ser promovidas mediante celebração de termo aditivo, submetido à prévia aprovação da consultoria jurídica do contratante, salvo nos casos de justificada necessidade de </w:t>
      </w:r>
      <w:r>
        <w:rPr>
          <w:rFonts w:ascii="Arial" w:hAnsi="Arial" w:cs="Arial"/>
          <w:lang w:val="pt-BR"/>
        </w:rPr>
        <w:t>antecipação</w:t>
      </w:r>
      <w:r>
        <w:rPr>
          <w:rFonts w:ascii="Arial" w:hAnsi="Arial" w:cs="Arial"/>
        </w:rPr>
        <w:t xml:space="preserve"> de seus efeitos, hipótese em que a formalização do aditivo deverá ocorrer no prazo máximo de 1 (um) mês (art. 132 da Lei nº 14.133, de 2021).</w:t>
      </w:r>
    </w:p>
    <w:p>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Fonts w:ascii="Arial" w:hAnsi="Arial" w:cs="Arial"/>
        </w:rPr>
        <w:t>art. 136 da Lei nº 14.133, de 2021</w:t>
      </w:r>
      <w:r>
        <w:rPr>
          <w:rStyle w:val="9"/>
          <w:rFonts w:ascii="Arial" w:hAnsi="Arial" w:cs="Arial"/>
        </w:rPr>
        <w:fldChar w:fldCharType="end"/>
      </w:r>
      <w:r>
        <w:rPr>
          <w:rFonts w:ascii="Arial" w:hAnsi="Arial" w:cs="Arial"/>
        </w:rPr>
        <w:t>.</w:t>
      </w:r>
    </w:p>
    <w:p>
      <w:pPr>
        <w:pStyle w:val="19"/>
        <w:tabs>
          <w:tab w:val="left" w:pos="426"/>
        </w:tabs>
        <w:spacing w:line="24" w:lineRule="atLeast"/>
        <w:ind w:left="0"/>
        <w:jc w:val="both"/>
        <w:rPr>
          <w:rFonts w:ascii="Arial" w:hAnsi="Arial" w:cs="Arial"/>
        </w:rPr>
      </w:pPr>
    </w:p>
    <w:p>
      <w:pPr>
        <w:pStyle w:val="45"/>
        <w:numPr>
          <w:ilvl w:val="0"/>
          <w:numId w:val="4"/>
        </w:numPr>
        <w:ind w:left="0" w:firstLine="0"/>
        <w:rPr>
          <w:b/>
          <w:bCs/>
          <w:sz w:val="22"/>
          <w:szCs w:val="22"/>
        </w:rPr>
      </w:pPr>
      <w:r>
        <w:rPr>
          <w:b/>
          <w:bCs/>
          <w:sz w:val="22"/>
          <w:szCs w:val="22"/>
        </w:rPr>
        <w:t>CLÁUSULA DÉCIMA SEXTA – PUBLICAÇÃO</w:t>
      </w:r>
    </w:p>
    <w:p>
      <w:pPr>
        <w:pStyle w:val="19"/>
        <w:numPr>
          <w:ilvl w:val="1"/>
          <w:numId w:val="4"/>
        </w:numPr>
        <w:tabs>
          <w:tab w:val="left" w:pos="426"/>
        </w:tabs>
        <w:spacing w:line="24" w:lineRule="atLeast"/>
        <w:ind w:left="0" w:firstLine="0"/>
        <w:jc w:val="both"/>
        <w:rPr>
          <w:rFonts w:ascii="Arial" w:hAnsi="Arial" w:cs="Arial"/>
          <w:b/>
          <w:bCs/>
          <w:u w:val="single"/>
        </w:rPr>
      </w:pPr>
      <w:r>
        <w:rPr>
          <w:rFonts w:ascii="Arial" w:hAnsi="Arial" w:cs="Arial"/>
          <w:b/>
          <w:bCs/>
          <w:u w:val="single"/>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9"/>
          <w:rFonts w:ascii="Arial" w:hAnsi="Arial" w:cs="Arial"/>
          <w:b/>
          <w:bCs/>
        </w:rPr>
        <w:t>art. 94 da Lei 14.133, de 2021</w:t>
      </w:r>
      <w:r>
        <w:rPr>
          <w:rStyle w:val="9"/>
          <w:rFonts w:ascii="Arial" w:hAnsi="Arial" w:cs="Arial"/>
          <w:b/>
          <w:bCs/>
        </w:rPr>
        <w:fldChar w:fldCharType="end"/>
      </w:r>
      <w:r>
        <w:rPr>
          <w:rFonts w:ascii="Arial" w:hAnsi="Arial" w:cs="Arial"/>
          <w:b/>
          <w:bCs/>
          <w:u w:val="single"/>
        </w:rPr>
        <w:t xml:space="preserve">, bem como no respectivo sítio oficial na Internet, em atenção ao art. 91, </w:t>
      </w:r>
      <w:r>
        <w:rPr>
          <w:rFonts w:ascii="Arial" w:hAnsi="Arial" w:cs="Arial"/>
          <w:b/>
          <w:bCs/>
          <w:i/>
          <w:u w:val="single"/>
        </w:rPr>
        <w:t>caput,</w:t>
      </w:r>
      <w:r>
        <w:rPr>
          <w:rFonts w:ascii="Arial" w:hAnsi="Arial" w:cs="Arial"/>
          <w:b/>
          <w:bCs/>
          <w:u w:val="single"/>
        </w:rPr>
        <w:t xml:space="preserve"> da Lei n.º 14.133, de 2021, e ao </w:t>
      </w:r>
      <w:r>
        <w:fldChar w:fldCharType="begin"/>
      </w:r>
      <w:r>
        <w:instrText xml:space="preserve"> HYPERLINK "https://www.planalto.gov.br/ccivil_03/_ato2011-2014/2011/lei/l12527.htm" \l "art8§2" </w:instrText>
      </w:r>
      <w:r>
        <w:fldChar w:fldCharType="separate"/>
      </w:r>
      <w:r>
        <w:rPr>
          <w:rStyle w:val="9"/>
          <w:rFonts w:ascii="Arial" w:hAnsi="Arial" w:cs="Arial"/>
          <w:b/>
          <w:bCs/>
        </w:rPr>
        <w:t>art. 8º, §2º, da Lei n. 12.527, de 2011</w:t>
      </w:r>
      <w:r>
        <w:rPr>
          <w:rStyle w:val="9"/>
          <w:rFonts w:ascii="Arial" w:hAnsi="Arial" w:cs="Arial"/>
          <w:b/>
          <w:bCs/>
        </w:rPr>
        <w:fldChar w:fldCharType="end"/>
      </w:r>
      <w:r>
        <w:rPr>
          <w:rFonts w:ascii="Arial" w:hAnsi="Arial" w:cs="Arial"/>
          <w:b/>
          <w:bCs/>
          <w:u w:val="single"/>
        </w:rPr>
        <w:t xml:space="preserve">, c/c </w:t>
      </w:r>
      <w:r>
        <w:fldChar w:fldCharType="begin"/>
      </w:r>
      <w:r>
        <w:instrText xml:space="preserve"> HYPERLINK "https://www.planalto.gov.br/ccivil_03/_ato2011-2014/2012/decreto/d7724.htm" \l "art7§3" </w:instrText>
      </w:r>
      <w:r>
        <w:fldChar w:fldCharType="separate"/>
      </w:r>
      <w:r>
        <w:rPr>
          <w:rStyle w:val="9"/>
          <w:rFonts w:ascii="Arial" w:hAnsi="Arial" w:cs="Arial"/>
          <w:b/>
          <w:bCs/>
        </w:rPr>
        <w:t>art. 7º, §3º, inciso V, do Decreto n. 7.724, de 2012</w:t>
      </w:r>
      <w:r>
        <w:rPr>
          <w:rStyle w:val="9"/>
          <w:rFonts w:ascii="Arial" w:hAnsi="Arial" w:cs="Arial"/>
          <w:b/>
          <w:bCs/>
        </w:rPr>
        <w:fldChar w:fldCharType="end"/>
      </w:r>
      <w:r>
        <w:rPr>
          <w:rFonts w:ascii="Arial" w:hAnsi="Arial" w:cs="Arial"/>
          <w:b/>
          <w:bCs/>
          <w:u w:val="single"/>
        </w:rPr>
        <w:t>.</w:t>
      </w:r>
    </w:p>
    <w:p>
      <w:pPr>
        <w:pStyle w:val="19"/>
        <w:tabs>
          <w:tab w:val="left" w:pos="426"/>
        </w:tabs>
        <w:spacing w:line="24" w:lineRule="atLeast"/>
        <w:ind w:left="0"/>
        <w:jc w:val="both"/>
        <w:rPr>
          <w:rFonts w:ascii="Arial" w:hAnsi="Arial" w:cs="Arial"/>
          <w:b/>
          <w:bCs/>
          <w:u w:val="single"/>
        </w:rPr>
      </w:pPr>
    </w:p>
    <w:p>
      <w:pPr>
        <w:pStyle w:val="44"/>
        <w:numPr>
          <w:ilvl w:val="0"/>
          <w:numId w:val="4"/>
        </w:numPr>
        <w:spacing w:line="24" w:lineRule="atLeast"/>
        <w:rPr>
          <w:sz w:val="22"/>
          <w:szCs w:val="22"/>
        </w:rPr>
      </w:pPr>
      <w:r>
        <w:rPr>
          <w:sz w:val="22"/>
          <w:szCs w:val="22"/>
        </w:rPr>
        <w:t>- CLÁUSULA DÉCIMA SÉTIMA –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4"/>
        </w:numPr>
        <w:tabs>
          <w:tab w:val="left" w:pos="426"/>
        </w:tabs>
        <w:spacing w:line="24" w:lineRule="atLeast"/>
        <w:ind w:left="0" w:firstLine="0"/>
        <w:jc w:val="both"/>
        <w:rPr>
          <w:rFonts w:ascii="Arial" w:hAnsi="Arial" w:cs="Arial"/>
          <w:lang w:val="pt-BR"/>
        </w:rPr>
      </w:pPr>
      <w:r>
        <w:rPr>
          <w:rFonts w:ascii="Arial" w:hAnsi="Arial" w:cs="Arial"/>
        </w:rPr>
        <w:t xml:space="preserve">É eleito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4"/>
        </w:numPr>
        <w:tabs>
          <w:tab w:val="left" w:pos="426"/>
        </w:tabs>
        <w:spacing w:line="24" w:lineRule="atLeast"/>
        <w:ind w:left="0" w:firstLine="0"/>
        <w:jc w:val="both"/>
        <w:rPr>
          <w:rFonts w:ascii="Arial" w:hAnsi="Arial" w:cs="Arial"/>
        </w:rPr>
      </w:pPr>
      <w:r>
        <w:rPr>
          <w:rFonts w:ascii="Arial" w:hAnsi="Arial" w:cs="Arial"/>
        </w:rPr>
        <w:t xml:space="preserve">Para firmeza e validade do pactuado, o presente Termo de Contrato foi lavrado em 03 (três) vias de igual teor, que, depois de lido e achado em ordem, vai assinado pelos contraentes. </w:t>
      </w:r>
    </w:p>
    <w:p>
      <w:pPr>
        <w:spacing w:before="120" w:after="120" w:line="24" w:lineRule="atLeast"/>
        <w:jc w:val="both"/>
        <w:rPr>
          <w:rFonts w:ascii="Arial" w:hAnsi="Arial" w:cs="Arial"/>
        </w:rPr>
      </w:pPr>
    </w:p>
    <w:p>
      <w:pPr>
        <w:spacing w:after="120" w:line="24" w:lineRule="atLeast"/>
        <w:ind w:right="-15"/>
        <w:jc w:val="right"/>
        <w:rPr>
          <w:rFonts w:ascii="Arial" w:hAnsi="Arial" w:cs="Arial"/>
        </w:rPr>
      </w:pPr>
      <w:r>
        <w:rPr>
          <w:rFonts w:ascii="Arial" w:hAnsi="Arial" w:cs="Arial"/>
        </w:rPr>
        <w:t>.........................................,  .......... de........................................ de 20.....</w:t>
      </w:r>
    </w:p>
    <w:p>
      <w:pPr>
        <w:spacing w:after="120" w:line="24" w:lineRule="atLeast"/>
        <w:ind w:right="-15"/>
        <w:jc w:val="both"/>
        <w:rPr>
          <w:rFonts w:ascii="Arial" w:hAnsi="Arial" w:cs="Arial"/>
        </w:rPr>
      </w:pPr>
    </w:p>
    <w:p>
      <w:pPr>
        <w:spacing w:after="120" w:line="24" w:lineRule="atLeast"/>
        <w:jc w:val="center"/>
        <w:rPr>
          <w:rFonts w:ascii="Arial" w:hAnsi="Arial" w:cs="Arial"/>
          <w:bCs/>
        </w:rPr>
      </w:pPr>
      <w:r>
        <w:rPr>
          <w:rFonts w:ascii="Arial" w:hAnsi="Arial" w:cs="Arial"/>
          <w:bCs/>
        </w:rPr>
        <w:t>________________________________</w:t>
      </w:r>
    </w:p>
    <w:p>
      <w:pPr>
        <w:spacing w:after="120" w:line="24" w:lineRule="atLeast"/>
        <w:jc w:val="center"/>
        <w:rPr>
          <w:rFonts w:ascii="Arial" w:hAnsi="Arial" w:cs="Arial"/>
          <w:bCs/>
        </w:rPr>
      </w:pPr>
      <w:r>
        <w:rPr>
          <w:rFonts w:ascii="Arial" w:hAnsi="Arial" w:cs="Arial"/>
          <w:bCs/>
        </w:rPr>
        <w:t>Responsável legal da CONTRATANTE</w:t>
      </w:r>
    </w:p>
    <w:p>
      <w:pPr>
        <w:spacing w:after="120" w:line="24" w:lineRule="atLeast"/>
        <w:jc w:val="center"/>
        <w:rPr>
          <w:rFonts w:ascii="Arial" w:hAnsi="Arial" w:cs="Arial"/>
        </w:rPr>
      </w:pPr>
    </w:p>
    <w:p>
      <w:pPr>
        <w:spacing w:after="120" w:line="24" w:lineRule="atLeast"/>
        <w:jc w:val="center"/>
        <w:rPr>
          <w:rFonts w:ascii="Arial" w:hAnsi="Arial" w:cs="Arial"/>
        </w:rPr>
      </w:pPr>
      <w:r>
        <w:rPr>
          <w:rFonts w:ascii="Arial" w:hAnsi="Arial" w:cs="Arial"/>
        </w:rPr>
        <w:t>_______________________________</w:t>
      </w:r>
    </w:p>
    <w:p>
      <w:pPr>
        <w:spacing w:after="120" w:line="24" w:lineRule="atLeast"/>
        <w:jc w:val="center"/>
        <w:rPr>
          <w:rFonts w:ascii="Arial" w:hAnsi="Arial" w:cs="Arial"/>
        </w:rPr>
      </w:pPr>
      <w:r>
        <w:rPr>
          <w:rFonts w:ascii="Arial" w:hAnsi="Arial" w:cs="Arial"/>
        </w:rPr>
        <w:t>Responsável legal da CONTRATADA</w:t>
      </w:r>
    </w:p>
    <w:p>
      <w:pPr>
        <w:spacing w:after="120" w:line="24" w:lineRule="atLeast"/>
        <w:jc w:val="both"/>
        <w:rPr>
          <w:rFonts w:ascii="Arial" w:hAnsi="Arial" w:cs="Arial"/>
        </w:rPr>
      </w:pPr>
    </w:p>
    <w:p>
      <w:pPr>
        <w:spacing w:after="120" w:line="24" w:lineRule="atLeast"/>
        <w:jc w:val="both"/>
        <w:rPr>
          <w:rFonts w:ascii="Arial" w:hAnsi="Arial" w:cs="Arial"/>
        </w:rPr>
      </w:pPr>
      <w:r>
        <w:rPr>
          <w:rFonts w:ascii="Arial" w:hAnsi="Arial" w:cs="Arial"/>
        </w:rPr>
        <w:t>TESTEMUNHAS:</w:t>
      </w:r>
    </w:p>
    <w:p>
      <w:pPr>
        <w:spacing w:after="120" w:line="24" w:lineRule="atLeast"/>
        <w:jc w:val="both"/>
        <w:rPr>
          <w:rFonts w:ascii="Arial" w:hAnsi="Arial" w:cs="Arial"/>
        </w:rPr>
      </w:pPr>
    </w:p>
    <w:p>
      <w:pPr>
        <w:spacing w:after="120" w:line="24" w:lineRule="atLeast"/>
        <w:jc w:val="both"/>
        <w:rPr>
          <w:rFonts w:ascii="Arial" w:hAnsi="Arial" w:cs="Arial"/>
        </w:rPr>
      </w:pPr>
      <w:r>
        <w:rPr>
          <w:rFonts w:ascii="Arial" w:hAnsi="Arial" w:cs="Arial"/>
        </w:rPr>
        <w:t>1-</w:t>
      </w:r>
      <w:bookmarkStart w:id="7" w:name="_GoBack"/>
      <w:bookmarkEnd w:id="7"/>
    </w:p>
    <w:p>
      <w:pPr>
        <w:spacing w:after="120" w:line="24" w:lineRule="atLeast"/>
        <w:jc w:val="both"/>
        <w:rPr>
          <w:rFonts w:ascii="Arial" w:hAnsi="Arial" w:cs="Arial"/>
        </w:rPr>
      </w:pPr>
      <w:r>
        <w:rPr>
          <w:rFonts w:ascii="Arial" w:hAnsi="Arial" w:cs="Arial"/>
        </w:rPr>
        <w:t>2-</w:t>
      </w:r>
    </w:p>
    <w:sectPr>
      <w:headerReference r:id="rId3" w:type="default"/>
      <w:footerReference r:id="rId4" w:type="default"/>
      <w:pgSz w:w="11910" w:h="16840"/>
      <w:pgMar w:top="1418" w:right="1418" w:bottom="1418" w:left="1418" w:header="72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86"/>
    <w:family w:val="swiss"/>
    <w:pitch w:val="default"/>
    <w:sig w:usb0="E4002EFF" w:usb1="C200247B" w:usb2="00000009" w:usb3="00000000" w:csb0="200001FF" w:csb1="00000000"/>
  </w:font>
  <w:font w:name="Ecofont_Spranq_eco_Sans">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altName w:val="Calibri"/>
    <w:panose1 w:val="00000000000000000000"/>
    <w:charset w:val="00"/>
    <w:family w:val="modern"/>
    <w:pitch w:val="default"/>
    <w:sig w:usb0="00000000"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Fonts w:ascii="Arial" w:hAnsi="Arial" w:cs="Arial"/>
        <w:sz w:val="16"/>
        <w:szCs w:val="18"/>
        <w:lang w:eastAsia="pt-BR"/>
      </w:rPr>
      <w:drawing>
        <wp:anchor distT="0" distB="0" distL="114300" distR="114300" simplePos="0" relativeHeight="251659264" behindDoc="0" locked="0" layoutInCell="1" allowOverlap="1">
          <wp:simplePos x="0" y="0"/>
          <wp:positionH relativeFrom="column">
            <wp:posOffset>-195580</wp:posOffset>
          </wp:positionH>
          <wp:positionV relativeFrom="paragraph">
            <wp:posOffset>-97790</wp:posOffset>
          </wp:positionV>
          <wp:extent cx="6101715" cy="1236980"/>
          <wp:effectExtent l="0" t="0" r="0" b="0"/>
          <wp:wrapSquare wrapText="bothSides"/>
          <wp:docPr id="4" name="Imagem 4" descr="Imag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Imagem1"/>
                  <pic:cNvPicPr>
                    <a:picLocks noChangeAspect="1"/>
                  </pic:cNvPicPr>
                </pic:nvPicPr>
                <pic:blipFill>
                  <a:blip r:embed="rId1"/>
                  <a:stretch>
                    <a:fillRect/>
                  </a:stretch>
                </pic:blipFill>
                <pic:spPr>
                  <a:xfrm>
                    <a:off x="0" y="0"/>
                    <a:ext cx="6101715" cy="1236980"/>
                  </a:xfrm>
                  <a:prstGeom prst="rect">
                    <a:avLst/>
                  </a:prstGeom>
                </pic:spPr>
              </pic:pic>
            </a:graphicData>
          </a:graphic>
        </wp:anchor>
      </w:drawing>
    </w:r>
  </w:p>
  <w:p/>
  <w:p/>
  <w:p/>
  <w:p/>
  <w:p>
    <w:pPr>
      <w:ind w:left="426" w:right="-17"/>
      <w:jc w:val="right"/>
      <w:rPr>
        <w:rFonts w:ascii="Arial" w:hAnsi="Arial" w:cs="Arial"/>
        <w:b/>
        <w:lang w:val="pt-BR"/>
      </w:rP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502" w:hanging="360"/>
      </w:pPr>
      <w:rPr>
        <w:rFonts w:hint="default" w:ascii="Arial" w:hAnsi="Arial" w:cs="Arial"/>
        <w:b/>
        <w:bCs/>
        <w:color w:val="auto"/>
        <w:sz w:val="22"/>
        <w:szCs w:val="22"/>
      </w:rPr>
    </w:lvl>
    <w:lvl w:ilvl="1" w:tentative="0">
      <w:start w:val="1"/>
      <w:numFmt w:val="decimal"/>
      <w:isLgl/>
      <w:lvlText w:val="%1.%2"/>
      <w:lvlJc w:val="left"/>
      <w:pPr>
        <w:ind w:left="360" w:hanging="360"/>
      </w:pPr>
      <w:rPr>
        <w:rFonts w:hint="default"/>
        <w:b w:val="0"/>
        <w:bCs w:val="0"/>
        <w:i w:val="0"/>
        <w:iCs w:val="0"/>
        <w:color w:val="auto"/>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C2D1974"/>
    <w:multiLevelType w:val="multilevel"/>
    <w:tmpl w:val="1C2D1974"/>
    <w:lvl w:ilvl="0" w:tentative="0">
      <w:start w:val="11"/>
      <w:numFmt w:val="decimal"/>
      <w:lvlText w:val="%1."/>
      <w:lvlJc w:val="left"/>
      <w:pPr>
        <w:ind w:left="502" w:hanging="360"/>
      </w:pPr>
      <w:rPr>
        <w:rFonts w:hint="default"/>
        <w:b w:val="0"/>
      </w:rPr>
    </w:lvl>
    <w:lvl w:ilvl="1" w:tentative="0">
      <w:start w:val="2"/>
      <w:numFmt w:val="decimal"/>
      <w:isLgl/>
      <w:lvlText w:val="%1.%2"/>
      <w:lvlJc w:val="left"/>
      <w:pPr>
        <w:ind w:left="742" w:hanging="600"/>
      </w:pPr>
      <w:rPr>
        <w:rFonts w:hint="default"/>
      </w:rPr>
    </w:lvl>
    <w:lvl w:ilvl="2" w:tentative="0">
      <w:start w:val="1"/>
      <w:numFmt w:val="decimal"/>
      <w:isLgl/>
      <w:lvlText w:val="%1.%2.%3"/>
      <w:lvlJc w:val="left"/>
      <w:pPr>
        <w:ind w:left="862" w:hanging="720"/>
      </w:pPr>
      <w:rPr>
        <w:rFonts w:hint="default"/>
      </w:rPr>
    </w:lvl>
    <w:lvl w:ilvl="3" w:tentative="0">
      <w:start w:val="1"/>
      <w:numFmt w:val="decimal"/>
      <w:isLgl/>
      <w:lvlText w:val="%1.%2.%3.%4"/>
      <w:lvlJc w:val="left"/>
      <w:pPr>
        <w:ind w:left="862" w:hanging="720"/>
      </w:pPr>
      <w:rPr>
        <w:rFonts w:hint="default"/>
      </w:rPr>
    </w:lvl>
    <w:lvl w:ilvl="4" w:tentative="0">
      <w:start w:val="1"/>
      <w:numFmt w:val="decimal"/>
      <w:isLgl/>
      <w:lvlText w:val="%1.%2.%3.%4.%5"/>
      <w:lvlJc w:val="left"/>
      <w:pPr>
        <w:ind w:left="1222" w:hanging="1080"/>
      </w:pPr>
      <w:rPr>
        <w:rFonts w:hint="default"/>
      </w:rPr>
    </w:lvl>
    <w:lvl w:ilvl="5" w:tentative="0">
      <w:start w:val="1"/>
      <w:numFmt w:val="decimal"/>
      <w:isLgl/>
      <w:lvlText w:val="%1.%2.%3.%4.%5.%6"/>
      <w:lvlJc w:val="left"/>
      <w:pPr>
        <w:ind w:left="1222" w:hanging="1080"/>
      </w:pPr>
      <w:rPr>
        <w:rFonts w:hint="default"/>
      </w:rPr>
    </w:lvl>
    <w:lvl w:ilvl="6" w:tentative="0">
      <w:start w:val="1"/>
      <w:numFmt w:val="decimal"/>
      <w:isLgl/>
      <w:lvlText w:val="%1.%2.%3.%4.%5.%6.%7"/>
      <w:lvlJc w:val="left"/>
      <w:pPr>
        <w:ind w:left="1582" w:hanging="1440"/>
      </w:pPr>
      <w:rPr>
        <w:rFonts w:hint="default"/>
      </w:rPr>
    </w:lvl>
    <w:lvl w:ilvl="7" w:tentative="0">
      <w:start w:val="1"/>
      <w:numFmt w:val="decimal"/>
      <w:isLgl/>
      <w:lvlText w:val="%1.%2.%3.%4.%5.%6.%7.%8"/>
      <w:lvlJc w:val="left"/>
      <w:pPr>
        <w:ind w:left="1582" w:hanging="1440"/>
      </w:pPr>
      <w:rPr>
        <w:rFonts w:hint="default"/>
      </w:rPr>
    </w:lvl>
    <w:lvl w:ilvl="8" w:tentative="0">
      <w:start w:val="1"/>
      <w:numFmt w:val="decimal"/>
      <w:isLgl/>
      <w:lvlText w:val="%1.%2.%3.%4.%5.%6.%7.%8.%9"/>
      <w:lvlJc w:val="left"/>
      <w:pPr>
        <w:ind w:left="1942" w:hanging="1800"/>
      </w:pPr>
      <w:rPr>
        <w:rFonts w:hint="default"/>
      </w:rPr>
    </w:lvl>
  </w:abstractNum>
  <w:abstractNum w:abstractNumId="5">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7">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5"/>
  </w:num>
  <w:num w:numId="2">
    <w:abstractNumId w:val="0"/>
  </w:num>
  <w:num w:numId="3">
    <w:abstractNumId w:val="3"/>
  </w:num>
  <w:num w:numId="4">
    <w:abstractNumId w:val="4"/>
  </w:num>
  <w:num w:numId="5">
    <w:abstractNumId w:val="7"/>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057A"/>
    <w:rsid w:val="00004765"/>
    <w:rsid w:val="00007997"/>
    <w:rsid w:val="00010323"/>
    <w:rsid w:val="00013242"/>
    <w:rsid w:val="000137FD"/>
    <w:rsid w:val="00016803"/>
    <w:rsid w:val="000168E3"/>
    <w:rsid w:val="0001740F"/>
    <w:rsid w:val="000205DB"/>
    <w:rsid w:val="00031FF5"/>
    <w:rsid w:val="00043FA7"/>
    <w:rsid w:val="00047EAB"/>
    <w:rsid w:val="00055A35"/>
    <w:rsid w:val="00060815"/>
    <w:rsid w:val="00064A3F"/>
    <w:rsid w:val="000659B7"/>
    <w:rsid w:val="0007531B"/>
    <w:rsid w:val="00085E40"/>
    <w:rsid w:val="00090A03"/>
    <w:rsid w:val="00090C31"/>
    <w:rsid w:val="00092735"/>
    <w:rsid w:val="00097D7B"/>
    <w:rsid w:val="000A1E64"/>
    <w:rsid w:val="000A720B"/>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6BD8"/>
    <w:rsid w:val="001079D7"/>
    <w:rsid w:val="001149D8"/>
    <w:rsid w:val="00125198"/>
    <w:rsid w:val="001257E0"/>
    <w:rsid w:val="001272CC"/>
    <w:rsid w:val="00130DCF"/>
    <w:rsid w:val="00134FCE"/>
    <w:rsid w:val="00135F0B"/>
    <w:rsid w:val="0014449B"/>
    <w:rsid w:val="00147B9F"/>
    <w:rsid w:val="0015173F"/>
    <w:rsid w:val="0015751B"/>
    <w:rsid w:val="00163876"/>
    <w:rsid w:val="00165D70"/>
    <w:rsid w:val="001767E4"/>
    <w:rsid w:val="00185DBF"/>
    <w:rsid w:val="00187C1B"/>
    <w:rsid w:val="00190F53"/>
    <w:rsid w:val="00193060"/>
    <w:rsid w:val="001A0D41"/>
    <w:rsid w:val="001A1733"/>
    <w:rsid w:val="001B5037"/>
    <w:rsid w:val="001D1890"/>
    <w:rsid w:val="001D32DF"/>
    <w:rsid w:val="001D4AC3"/>
    <w:rsid w:val="001E0962"/>
    <w:rsid w:val="001E3568"/>
    <w:rsid w:val="001E6DD7"/>
    <w:rsid w:val="001F44F7"/>
    <w:rsid w:val="00204C8A"/>
    <w:rsid w:val="00205048"/>
    <w:rsid w:val="00206977"/>
    <w:rsid w:val="00212F44"/>
    <w:rsid w:val="002218CE"/>
    <w:rsid w:val="002248AB"/>
    <w:rsid w:val="00227DC7"/>
    <w:rsid w:val="00230394"/>
    <w:rsid w:val="00231ABE"/>
    <w:rsid w:val="00231EAB"/>
    <w:rsid w:val="00243E36"/>
    <w:rsid w:val="00244CA9"/>
    <w:rsid w:val="00251867"/>
    <w:rsid w:val="002556A7"/>
    <w:rsid w:val="002573CE"/>
    <w:rsid w:val="00257889"/>
    <w:rsid w:val="00264522"/>
    <w:rsid w:val="002663BD"/>
    <w:rsid w:val="00266B10"/>
    <w:rsid w:val="00276B5D"/>
    <w:rsid w:val="0028199E"/>
    <w:rsid w:val="0028504B"/>
    <w:rsid w:val="00296174"/>
    <w:rsid w:val="002A4753"/>
    <w:rsid w:val="002A5711"/>
    <w:rsid w:val="002A5731"/>
    <w:rsid w:val="002A5881"/>
    <w:rsid w:val="002A7071"/>
    <w:rsid w:val="002A729A"/>
    <w:rsid w:val="002B28F4"/>
    <w:rsid w:val="002B3DAB"/>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47990"/>
    <w:rsid w:val="0035743C"/>
    <w:rsid w:val="003578AC"/>
    <w:rsid w:val="00357A26"/>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0858"/>
    <w:rsid w:val="004549BE"/>
    <w:rsid w:val="00461F93"/>
    <w:rsid w:val="00466044"/>
    <w:rsid w:val="00466BF6"/>
    <w:rsid w:val="00473378"/>
    <w:rsid w:val="004735E6"/>
    <w:rsid w:val="0047582C"/>
    <w:rsid w:val="00475936"/>
    <w:rsid w:val="0048007A"/>
    <w:rsid w:val="00481EFD"/>
    <w:rsid w:val="004959AC"/>
    <w:rsid w:val="004A09DC"/>
    <w:rsid w:val="004A1537"/>
    <w:rsid w:val="004A30C1"/>
    <w:rsid w:val="004A7803"/>
    <w:rsid w:val="004B375B"/>
    <w:rsid w:val="004B61AB"/>
    <w:rsid w:val="004C1220"/>
    <w:rsid w:val="004C76E7"/>
    <w:rsid w:val="004D3E0A"/>
    <w:rsid w:val="004E079B"/>
    <w:rsid w:val="004E1FFC"/>
    <w:rsid w:val="004E221E"/>
    <w:rsid w:val="004E608B"/>
    <w:rsid w:val="005002F9"/>
    <w:rsid w:val="005041CA"/>
    <w:rsid w:val="0050609F"/>
    <w:rsid w:val="0050761F"/>
    <w:rsid w:val="00510C82"/>
    <w:rsid w:val="00515DDB"/>
    <w:rsid w:val="005241B8"/>
    <w:rsid w:val="0052549E"/>
    <w:rsid w:val="005258A4"/>
    <w:rsid w:val="00532FA9"/>
    <w:rsid w:val="005360EE"/>
    <w:rsid w:val="005466C3"/>
    <w:rsid w:val="00546D34"/>
    <w:rsid w:val="0055035E"/>
    <w:rsid w:val="0055265D"/>
    <w:rsid w:val="00552CD7"/>
    <w:rsid w:val="005548E3"/>
    <w:rsid w:val="00557CD0"/>
    <w:rsid w:val="0056221F"/>
    <w:rsid w:val="00563586"/>
    <w:rsid w:val="00564A89"/>
    <w:rsid w:val="00571224"/>
    <w:rsid w:val="005722A3"/>
    <w:rsid w:val="005748D7"/>
    <w:rsid w:val="00582673"/>
    <w:rsid w:val="00594591"/>
    <w:rsid w:val="005C402B"/>
    <w:rsid w:val="005C5FFB"/>
    <w:rsid w:val="005D66B5"/>
    <w:rsid w:val="005D7CC0"/>
    <w:rsid w:val="005E2922"/>
    <w:rsid w:val="005E753D"/>
    <w:rsid w:val="005F27AF"/>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6064C"/>
    <w:rsid w:val="00663874"/>
    <w:rsid w:val="00667939"/>
    <w:rsid w:val="006709DA"/>
    <w:rsid w:val="00670BF3"/>
    <w:rsid w:val="0067457F"/>
    <w:rsid w:val="006825AF"/>
    <w:rsid w:val="00691421"/>
    <w:rsid w:val="00692175"/>
    <w:rsid w:val="006A1B6A"/>
    <w:rsid w:val="006A3830"/>
    <w:rsid w:val="006B62AB"/>
    <w:rsid w:val="006C7188"/>
    <w:rsid w:val="006D48A5"/>
    <w:rsid w:val="006D4909"/>
    <w:rsid w:val="006D6562"/>
    <w:rsid w:val="006E5958"/>
    <w:rsid w:val="006E635F"/>
    <w:rsid w:val="006F0ECE"/>
    <w:rsid w:val="006F14B3"/>
    <w:rsid w:val="00713A65"/>
    <w:rsid w:val="007168B3"/>
    <w:rsid w:val="00722F56"/>
    <w:rsid w:val="0072589C"/>
    <w:rsid w:val="007270C7"/>
    <w:rsid w:val="00735ADD"/>
    <w:rsid w:val="00741433"/>
    <w:rsid w:val="007476E1"/>
    <w:rsid w:val="0075018C"/>
    <w:rsid w:val="007506FB"/>
    <w:rsid w:val="00752A45"/>
    <w:rsid w:val="0075652C"/>
    <w:rsid w:val="00763341"/>
    <w:rsid w:val="00766D93"/>
    <w:rsid w:val="00773AA0"/>
    <w:rsid w:val="00774918"/>
    <w:rsid w:val="007767C7"/>
    <w:rsid w:val="00785644"/>
    <w:rsid w:val="00785D66"/>
    <w:rsid w:val="0079421E"/>
    <w:rsid w:val="00797F3F"/>
    <w:rsid w:val="007A6547"/>
    <w:rsid w:val="007B0D84"/>
    <w:rsid w:val="007B1474"/>
    <w:rsid w:val="007B28CD"/>
    <w:rsid w:val="007E78B9"/>
    <w:rsid w:val="007E7BBF"/>
    <w:rsid w:val="007F7B13"/>
    <w:rsid w:val="00807004"/>
    <w:rsid w:val="00814BB1"/>
    <w:rsid w:val="00814BDC"/>
    <w:rsid w:val="008202AC"/>
    <w:rsid w:val="00821580"/>
    <w:rsid w:val="008233A0"/>
    <w:rsid w:val="008311C9"/>
    <w:rsid w:val="00831574"/>
    <w:rsid w:val="0083408E"/>
    <w:rsid w:val="00837319"/>
    <w:rsid w:val="00837575"/>
    <w:rsid w:val="008375B8"/>
    <w:rsid w:val="00843BA7"/>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31A4"/>
    <w:rsid w:val="0089518A"/>
    <w:rsid w:val="008A046D"/>
    <w:rsid w:val="008A31DA"/>
    <w:rsid w:val="008A72D1"/>
    <w:rsid w:val="008B1D7C"/>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174E2"/>
    <w:rsid w:val="0092129B"/>
    <w:rsid w:val="009213D5"/>
    <w:rsid w:val="009327CB"/>
    <w:rsid w:val="009335AB"/>
    <w:rsid w:val="00941655"/>
    <w:rsid w:val="00944FFE"/>
    <w:rsid w:val="00954199"/>
    <w:rsid w:val="009553C6"/>
    <w:rsid w:val="00956E65"/>
    <w:rsid w:val="00961535"/>
    <w:rsid w:val="00971993"/>
    <w:rsid w:val="00974672"/>
    <w:rsid w:val="00974A4B"/>
    <w:rsid w:val="00975829"/>
    <w:rsid w:val="0097688D"/>
    <w:rsid w:val="0097702B"/>
    <w:rsid w:val="009872FB"/>
    <w:rsid w:val="009877CB"/>
    <w:rsid w:val="00994651"/>
    <w:rsid w:val="009A16F5"/>
    <w:rsid w:val="009A5753"/>
    <w:rsid w:val="009B3712"/>
    <w:rsid w:val="009B70F6"/>
    <w:rsid w:val="009C02ED"/>
    <w:rsid w:val="009C3548"/>
    <w:rsid w:val="009D2CA1"/>
    <w:rsid w:val="009E1207"/>
    <w:rsid w:val="009E66A8"/>
    <w:rsid w:val="009F2F85"/>
    <w:rsid w:val="00A0051A"/>
    <w:rsid w:val="00A06D2F"/>
    <w:rsid w:val="00A111BA"/>
    <w:rsid w:val="00A14FF7"/>
    <w:rsid w:val="00A229E2"/>
    <w:rsid w:val="00A23D36"/>
    <w:rsid w:val="00A27B94"/>
    <w:rsid w:val="00A327A0"/>
    <w:rsid w:val="00A4175F"/>
    <w:rsid w:val="00A53B03"/>
    <w:rsid w:val="00A57DA7"/>
    <w:rsid w:val="00A6697E"/>
    <w:rsid w:val="00A74974"/>
    <w:rsid w:val="00A756C0"/>
    <w:rsid w:val="00A75B6C"/>
    <w:rsid w:val="00A87002"/>
    <w:rsid w:val="00A92914"/>
    <w:rsid w:val="00A94653"/>
    <w:rsid w:val="00A96E16"/>
    <w:rsid w:val="00AA4EF9"/>
    <w:rsid w:val="00AA6B3D"/>
    <w:rsid w:val="00AC1FD2"/>
    <w:rsid w:val="00AC69AD"/>
    <w:rsid w:val="00AD022C"/>
    <w:rsid w:val="00AD4EFB"/>
    <w:rsid w:val="00AE2539"/>
    <w:rsid w:val="00AE7153"/>
    <w:rsid w:val="00AF4EE0"/>
    <w:rsid w:val="00AF5DD4"/>
    <w:rsid w:val="00AF6B88"/>
    <w:rsid w:val="00B0084D"/>
    <w:rsid w:val="00B02294"/>
    <w:rsid w:val="00B03288"/>
    <w:rsid w:val="00B061E6"/>
    <w:rsid w:val="00B12062"/>
    <w:rsid w:val="00B13DC2"/>
    <w:rsid w:val="00B16431"/>
    <w:rsid w:val="00B17BE8"/>
    <w:rsid w:val="00B25D0B"/>
    <w:rsid w:val="00B26F60"/>
    <w:rsid w:val="00B27105"/>
    <w:rsid w:val="00B27477"/>
    <w:rsid w:val="00B30CA0"/>
    <w:rsid w:val="00B35782"/>
    <w:rsid w:val="00B367AB"/>
    <w:rsid w:val="00B36A36"/>
    <w:rsid w:val="00B37399"/>
    <w:rsid w:val="00B375EA"/>
    <w:rsid w:val="00B42A6A"/>
    <w:rsid w:val="00B51D0D"/>
    <w:rsid w:val="00B52F88"/>
    <w:rsid w:val="00B676BB"/>
    <w:rsid w:val="00B721DC"/>
    <w:rsid w:val="00B92016"/>
    <w:rsid w:val="00B923BE"/>
    <w:rsid w:val="00B97A4B"/>
    <w:rsid w:val="00BA1327"/>
    <w:rsid w:val="00BA2AC6"/>
    <w:rsid w:val="00BA68EF"/>
    <w:rsid w:val="00BB0633"/>
    <w:rsid w:val="00BB36D3"/>
    <w:rsid w:val="00BB3B8F"/>
    <w:rsid w:val="00BB408F"/>
    <w:rsid w:val="00BB527C"/>
    <w:rsid w:val="00BB61D2"/>
    <w:rsid w:val="00BE3C4E"/>
    <w:rsid w:val="00BE3CE6"/>
    <w:rsid w:val="00BE40A2"/>
    <w:rsid w:val="00BE429A"/>
    <w:rsid w:val="00BE4E9F"/>
    <w:rsid w:val="00BF3141"/>
    <w:rsid w:val="00BF62AF"/>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24B8"/>
    <w:rsid w:val="00C876B7"/>
    <w:rsid w:val="00C91A0C"/>
    <w:rsid w:val="00C95B31"/>
    <w:rsid w:val="00C9769F"/>
    <w:rsid w:val="00CA5F9F"/>
    <w:rsid w:val="00CB6468"/>
    <w:rsid w:val="00CB7984"/>
    <w:rsid w:val="00CC0C99"/>
    <w:rsid w:val="00CC288A"/>
    <w:rsid w:val="00CC666F"/>
    <w:rsid w:val="00CD38B7"/>
    <w:rsid w:val="00CE1CB6"/>
    <w:rsid w:val="00CF467B"/>
    <w:rsid w:val="00D06A05"/>
    <w:rsid w:val="00D22F45"/>
    <w:rsid w:val="00D2348E"/>
    <w:rsid w:val="00D249B9"/>
    <w:rsid w:val="00D2776D"/>
    <w:rsid w:val="00D27AFB"/>
    <w:rsid w:val="00D35788"/>
    <w:rsid w:val="00D41464"/>
    <w:rsid w:val="00D5096A"/>
    <w:rsid w:val="00D55810"/>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F005F"/>
    <w:rsid w:val="00DF0184"/>
    <w:rsid w:val="00E12775"/>
    <w:rsid w:val="00E151D6"/>
    <w:rsid w:val="00E26E61"/>
    <w:rsid w:val="00E27B1B"/>
    <w:rsid w:val="00E30BFB"/>
    <w:rsid w:val="00E40A97"/>
    <w:rsid w:val="00E415DF"/>
    <w:rsid w:val="00E4547A"/>
    <w:rsid w:val="00E52DCC"/>
    <w:rsid w:val="00E72E81"/>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0D5B"/>
    <w:rsid w:val="00ED1360"/>
    <w:rsid w:val="00ED74B1"/>
    <w:rsid w:val="00EE1B67"/>
    <w:rsid w:val="00EE2035"/>
    <w:rsid w:val="00EF6AA9"/>
    <w:rsid w:val="00F232EF"/>
    <w:rsid w:val="00F25325"/>
    <w:rsid w:val="00F30FF9"/>
    <w:rsid w:val="00F32C26"/>
    <w:rsid w:val="00F336C7"/>
    <w:rsid w:val="00F37352"/>
    <w:rsid w:val="00F40051"/>
    <w:rsid w:val="00F45FFC"/>
    <w:rsid w:val="00F46439"/>
    <w:rsid w:val="00F57615"/>
    <w:rsid w:val="00F829FD"/>
    <w:rsid w:val="00F8494D"/>
    <w:rsid w:val="00FA307E"/>
    <w:rsid w:val="00FA5861"/>
    <w:rsid w:val="00FB230B"/>
    <w:rsid w:val="00FB71A6"/>
    <w:rsid w:val="00FC22BB"/>
    <w:rsid w:val="00FD0DC6"/>
    <w:rsid w:val="00FD2171"/>
    <w:rsid w:val="00FD7FE7"/>
    <w:rsid w:val="00FE6985"/>
    <w:rsid w:val="00FF2E17"/>
    <w:rsid w:val="00FF437B"/>
    <w:rsid w:val="048D5F88"/>
    <w:rsid w:val="06B72B1D"/>
    <w:rsid w:val="0AB23D10"/>
    <w:rsid w:val="0FC8249D"/>
    <w:rsid w:val="11CC2ACE"/>
    <w:rsid w:val="13AC5F03"/>
    <w:rsid w:val="151C707F"/>
    <w:rsid w:val="1AF72D93"/>
    <w:rsid w:val="1FD12E07"/>
    <w:rsid w:val="272339E1"/>
    <w:rsid w:val="34A6736D"/>
    <w:rsid w:val="38913E32"/>
    <w:rsid w:val="3A276EEB"/>
    <w:rsid w:val="3C4D19A5"/>
    <w:rsid w:val="3C9967A2"/>
    <w:rsid w:val="3D361311"/>
    <w:rsid w:val="501F24D5"/>
    <w:rsid w:val="5C237373"/>
    <w:rsid w:val="60572F3B"/>
    <w:rsid w:val="623C6820"/>
    <w:rsid w:val="65A37AD5"/>
    <w:rsid w:val="65D87413"/>
    <w:rsid w:val="68532C20"/>
    <w:rsid w:val="6CC87B57"/>
    <w:rsid w:val="6E4D14A5"/>
    <w:rsid w:val="72F96CB0"/>
    <w:rsid w:val="749B1192"/>
    <w:rsid w:val="77B2358A"/>
    <w:rsid w:val="7CE2199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1"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99"/>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1"/>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99"/>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Menção Pendente1"/>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Link da Internet"/>
    <w:qFormat/>
    <w:uiPriority w:val="6"/>
    <w:rPr>
      <w:color w:val="000080"/>
      <w:u w:val="single"/>
    </w:rPr>
  </w:style>
  <w:style w:type="character" w:customStyle="1" w:styleId="62">
    <w:name w:val="Fonte parág. padrão11"/>
    <w:qFormat/>
    <w:uiPriority w:val="6"/>
  </w:style>
  <w:style w:type="paragraph" w:customStyle="1" w:styleId="63">
    <w:name w:val="MENUDO 1"/>
    <w:basedOn w:val="1"/>
    <w:qFormat/>
    <w:uiPriority w:val="4"/>
    <w:pPr>
      <w:keepNext/>
      <w:keepLines/>
      <w:widowControl/>
      <w:tabs>
        <w:tab w:val="left" w:pos="567"/>
      </w:tabs>
      <w:suppressAutoHyphens/>
      <w:autoSpaceDE/>
      <w:autoSpaceDN/>
      <w:spacing w:before="120" w:after="120" w:line="312" w:lineRule="auto"/>
      <w:ind w:hanging="425"/>
      <w:jc w:val="both"/>
      <w:textAlignment w:val="baseline"/>
      <w:outlineLvl w:val="0"/>
    </w:pPr>
    <w:rPr>
      <w:rFonts w:ascii="Times New Roman" w:hAnsi="Times New Roman" w:eastAsia="SimSun" w:cs="Times New Roman"/>
      <w:b/>
      <w:bCs/>
      <w:color w:val="000000"/>
      <w:kern w:val="2"/>
      <w:sz w:val="24"/>
      <w:szCs w:val="24"/>
      <w:lang w:val="pt-BR" w:eastAsia="zh-CN"/>
    </w:rPr>
  </w:style>
  <w:style w:type="character" w:customStyle="1" w:styleId="64">
    <w:name w:val="fontstyle01"/>
    <w:basedOn w:val="5"/>
    <w:qFormat/>
    <w:uiPriority w:val="0"/>
    <w:rPr>
      <w:rFonts w:hint="default" w:ascii="Calibri" w:hAnsi="Calibri" w:cs="Calibri"/>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5747</Words>
  <Characters>32592</Characters>
  <Lines>299</Lines>
  <Paragraphs>84</Paragraphs>
  <TotalTime>5</TotalTime>
  <ScaleCrop>false</ScaleCrop>
  <LinksUpToDate>false</LinksUpToDate>
  <CharactersWithSpaces>38197</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WPS_1775823325</dc:creator>
  <cp:lastModifiedBy>julia.faria</cp:lastModifiedBy>
  <cp:lastPrinted>2025-07-07T18:54:00Z</cp:lastPrinted>
  <dcterms:modified xsi:type="dcterms:W3CDTF">2026-08-31T12:57:24Z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0F9D6047733C4D4995B77F9C8413F8F2_13</vt:lpwstr>
  </property>
  <property fmtid="{D5CDD505-2E9C-101B-9397-08002B2CF9AE}" pid="7" name="KSOTemplateDocerSaveRecord">
    <vt:lpwstr>eyJoZGlkIjoiYzZjNWZkZjVjNGQyYzdmOWU3YWE2YTIwMmRiNTdhZmIiLCJ1c2VySWQiOiIxMjM2OTUxMDYwODYxIn0=</vt:lpwstr>
  </property>
</Properties>
</file>